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4ED8F26"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FA644A">
        <w:rPr>
          <w:rFonts w:ascii="Calibri" w:hAnsi="Calibri"/>
          <w:color w:val="00558C"/>
          <w:sz w:val="24"/>
          <w:szCs w:val="24"/>
        </w:rPr>
        <w:t>ARM22</w:t>
      </w:r>
      <w:r w:rsidRPr="00A72757">
        <w:rPr>
          <w:rFonts w:ascii="Calibri" w:hAnsi="Calibri"/>
          <w:color w:val="00558C"/>
          <w:sz w:val="24"/>
          <w:szCs w:val="24"/>
        </w:rPr>
        <w:t>-</w:t>
      </w:r>
      <w:r w:rsidR="002D3B9F">
        <w:rPr>
          <w:rFonts w:ascii="Calibri" w:hAnsi="Calibri"/>
          <w:color w:val="00558C"/>
          <w:sz w:val="24"/>
          <w:szCs w:val="24"/>
        </w:rPr>
        <w:t>8.1.6</w:t>
      </w:r>
    </w:p>
    <w:p w14:paraId="4C647C1B" w14:textId="76124E52"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r w:rsidR="002D3B9F">
        <w:rPr>
          <w:rFonts w:ascii="Calibri" w:eastAsia="Malgun Gothic" w:hAnsi="Calibri"/>
          <w:color w:val="00558C"/>
          <w:sz w:val="24"/>
          <w:szCs w:val="24"/>
          <w:lang w:eastAsia="ko-KR"/>
        </w:rPr>
        <w:t>14 April</w:t>
      </w:r>
      <w:r>
        <w:rPr>
          <w:rFonts w:ascii="Calibri" w:eastAsia="Malgun Gothic" w:hAnsi="Calibri" w:hint="eastAsia"/>
          <w:color w:val="00558C"/>
          <w:sz w:val="24"/>
          <w:szCs w:val="24"/>
          <w:lang w:eastAsia="ko-KR"/>
        </w:rPr>
        <w:t xml:space="preserve"> 202</w:t>
      </w:r>
      <w:r w:rsidR="002D3B9F">
        <w:rPr>
          <w:rFonts w:ascii="Calibri" w:eastAsia="Malgun Gothic" w:hAnsi="Calibri"/>
          <w:color w:val="00558C"/>
          <w:sz w:val="24"/>
          <w:szCs w:val="24"/>
          <w:lang w:eastAsia="ko-KR"/>
        </w:rPr>
        <w:t>6</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651C0467" w:rsidR="0080294B" w:rsidRPr="00B0084A" w:rsidRDefault="00805627"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EndPr/>
        <w:sdtContent>
          <w:r w:rsidR="004A1681">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9F3737">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6CE4DB68" w:rsidR="0080294B" w:rsidRPr="005E7CD1" w:rsidRDefault="00805627"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221E08" w:rsidRPr="005E7CD1">
            <w:rPr>
              <w:rFonts w:ascii="MS Gothic" w:eastAsia="MS Gothic" w:hAnsi="MS Gothic" w:cs="Arial" w:hint="eastAsia"/>
              <w:b/>
            </w:rPr>
            <w:t>☐</w:t>
          </w:r>
        </w:sdtContent>
      </w:sdt>
      <w:r w:rsidR="0080294B" w:rsidRPr="005E7CD1">
        <w:rPr>
          <w:rFonts w:ascii="Calibri" w:hAnsi="Calibri" w:cs="Arial"/>
        </w:rPr>
        <w:t xml:space="preserve"> ENAV</w:t>
      </w:r>
      <w:r w:rsidR="0080294B" w:rsidRPr="005E7CD1">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sidR="00221E08" w:rsidRPr="005E7CD1">
            <w:rPr>
              <w:rFonts w:ascii="MS Gothic" w:eastAsia="MS Gothic" w:hAnsi="MS Gothic" w:cs="Arial" w:hint="eastAsia"/>
              <w:b/>
            </w:rPr>
            <w:t>☐</w:t>
          </w:r>
        </w:sdtContent>
      </w:sdt>
      <w:r w:rsidR="0080294B" w:rsidRPr="005E7CD1">
        <w:rPr>
          <w:rFonts w:ascii="Calibri" w:hAnsi="Calibri" w:cs="Arial"/>
        </w:rPr>
        <w:t xml:space="preserve"> </w:t>
      </w:r>
      <w:r w:rsidR="003D2DC1" w:rsidRPr="005E7CD1">
        <w:rPr>
          <w:rFonts w:ascii="Calibri" w:hAnsi="Calibri" w:cs="Arial"/>
        </w:rPr>
        <w:t>VTS</w:t>
      </w:r>
      <w:r w:rsidR="0080294B" w:rsidRPr="005E7CD1">
        <w:rPr>
          <w:rFonts w:ascii="Calibri" w:hAnsi="Calibri" w:cs="Arial"/>
        </w:rPr>
        <w:tab/>
      </w:r>
      <w:r w:rsidR="0080294B" w:rsidRPr="005E7CD1">
        <w:rPr>
          <w:rFonts w:ascii="Calibri" w:hAnsi="Calibri" w:cs="Arial"/>
        </w:rPr>
        <w:tab/>
      </w:r>
      <w:r w:rsidR="0080294B" w:rsidRPr="005E7CD1">
        <w:rPr>
          <w:rFonts w:ascii="Calibri" w:hAnsi="Calibri" w:cs="Arial"/>
        </w:rPr>
        <w:tab/>
      </w:r>
      <w:r w:rsidR="0080294B" w:rsidRPr="005E7CD1">
        <w:rPr>
          <w:rFonts w:ascii="Calibri" w:hAnsi="Calibri" w:cs="Arial"/>
        </w:rPr>
        <w:tab/>
      </w:r>
      <w:r w:rsidR="0080294B" w:rsidRPr="005E7CD1">
        <w:rPr>
          <w:rFonts w:ascii="Calibri" w:hAnsi="Calibri" w:cs="Arial"/>
        </w:rPr>
        <w:tab/>
      </w:r>
      <w:sdt>
        <w:sdtPr>
          <w:rPr>
            <w:rFonts w:ascii="Calibri" w:hAnsi="Calibri" w:cs="Arial"/>
            <w:b/>
          </w:rPr>
          <w:id w:val="1701977003"/>
          <w14:checkbox>
            <w14:checked w14:val="1"/>
            <w14:checkedState w14:val="2612" w14:font="MS Gothic"/>
            <w14:uncheckedState w14:val="2610" w14:font="MS Gothic"/>
          </w14:checkbox>
        </w:sdtPr>
        <w:sdtEndPr/>
        <w:sdtContent>
          <w:r w:rsidR="004A1681" w:rsidRPr="005E7CD1">
            <w:rPr>
              <w:rFonts w:ascii="MS Gothic" w:eastAsia="MS Gothic" w:hAnsi="MS Gothic" w:cs="Arial" w:hint="eastAsia"/>
              <w:b/>
            </w:rPr>
            <w:t>☒</w:t>
          </w:r>
        </w:sdtContent>
      </w:sdt>
      <w:r w:rsidR="00110203" w:rsidRPr="005E7CD1">
        <w:rPr>
          <w:rFonts w:ascii="Calibri" w:hAnsi="Calibri" w:cs="Arial"/>
        </w:rPr>
        <w:t xml:space="preserve"> </w:t>
      </w:r>
      <w:r w:rsidR="0080294B" w:rsidRPr="005E7CD1">
        <w:rPr>
          <w:rFonts w:ascii="Calibri" w:hAnsi="Calibri" w:cs="Arial"/>
        </w:rPr>
        <w:t>Information</w:t>
      </w:r>
    </w:p>
    <w:p w14:paraId="3E1C02C4" w14:textId="77777777" w:rsidR="0080294B" w:rsidRPr="005E7CD1" w:rsidRDefault="0080294B" w:rsidP="00FE5674">
      <w:pPr>
        <w:pStyle w:val="BodyText"/>
        <w:tabs>
          <w:tab w:val="left" w:pos="2835"/>
        </w:tabs>
        <w:rPr>
          <w:rFonts w:ascii="Calibri" w:hAnsi="Calibri"/>
        </w:rPr>
      </w:pPr>
    </w:p>
    <w:p w14:paraId="4DD25FD9" w14:textId="2F0274A5" w:rsidR="00A446C9" w:rsidRPr="005E7CD1" w:rsidRDefault="00A446C9" w:rsidP="00FE5674">
      <w:pPr>
        <w:pStyle w:val="BodyText"/>
        <w:tabs>
          <w:tab w:val="left" w:pos="2835"/>
        </w:tabs>
        <w:rPr>
          <w:rFonts w:ascii="Calibri" w:hAnsi="Calibri"/>
        </w:rPr>
      </w:pPr>
      <w:r w:rsidRPr="005E7CD1">
        <w:rPr>
          <w:rFonts w:ascii="Calibri" w:hAnsi="Calibri"/>
          <w:b/>
          <w:bCs/>
          <w:color w:val="00558C"/>
          <w:sz w:val="24"/>
          <w:szCs w:val="24"/>
        </w:rPr>
        <w:t>Agenda item</w:t>
      </w:r>
      <w:r w:rsidR="00037DF4" w:rsidRPr="005E7CD1">
        <w:rPr>
          <w:rFonts w:ascii="Calibri" w:hAnsi="Calibri"/>
        </w:rPr>
        <w:t xml:space="preserve"> </w:t>
      </w:r>
      <w:r w:rsidR="00037DF4" w:rsidRPr="007A395D">
        <w:rPr>
          <w:rStyle w:val="FootnoteReference"/>
          <w:rFonts w:ascii="Calibri" w:hAnsi="Calibri"/>
          <w:sz w:val="22"/>
        </w:rPr>
        <w:footnoteReference w:id="2"/>
      </w:r>
      <w:r w:rsidR="001C44A3" w:rsidRPr="005E7CD1">
        <w:rPr>
          <w:rFonts w:ascii="Calibri" w:hAnsi="Calibri"/>
        </w:rPr>
        <w:tab/>
      </w:r>
      <w:r w:rsidR="0080294B" w:rsidRPr="005E7CD1">
        <w:rPr>
          <w:rFonts w:ascii="Calibri" w:hAnsi="Calibri"/>
        </w:rPr>
        <w:tab/>
      </w:r>
      <w:r w:rsidR="0080294B" w:rsidRPr="005E7CD1">
        <w:rPr>
          <w:rFonts w:ascii="Calibri" w:hAnsi="Calibri"/>
        </w:rPr>
        <w:tab/>
      </w:r>
      <w:r w:rsidR="002D3B9F" w:rsidRPr="005E7CD1">
        <w:rPr>
          <w:rFonts w:ascii="Calibri" w:hAnsi="Calibri"/>
        </w:rPr>
        <w:t>8.</w:t>
      </w:r>
      <w:r w:rsidR="005E7CD1" w:rsidRPr="005E7CD1">
        <w:rPr>
          <w:rFonts w:ascii="Calibri" w:hAnsi="Calibri"/>
        </w:rPr>
        <w:t>1</w:t>
      </w:r>
    </w:p>
    <w:p w14:paraId="1AB3E246" w14:textId="7186A504"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480A7D">
        <w:rPr>
          <w:rFonts w:ascii="Calibri" w:hAnsi="Calibri"/>
        </w:rPr>
        <w:t>1.4.7</w:t>
      </w:r>
    </w:p>
    <w:p w14:paraId="01FC5420" w14:textId="3E5FE53B"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9D0040">
        <w:rPr>
          <w:rFonts w:ascii="Calibri" w:hAnsi="Calibri"/>
        </w:rPr>
        <w:t xml:space="preserve">Y. </w:t>
      </w:r>
      <w:proofErr w:type="spellStart"/>
      <w:r w:rsidR="009D0040">
        <w:rPr>
          <w:rFonts w:ascii="Calibri" w:hAnsi="Calibri"/>
        </w:rPr>
        <w:t>Koldenhof</w:t>
      </w:r>
      <w:proofErr w:type="spellEnd"/>
      <w:r w:rsidR="009D0040">
        <w:rPr>
          <w:rFonts w:ascii="Calibri" w:hAnsi="Calibri"/>
        </w:rPr>
        <w:t xml:space="preserve"> (MARIN), E. Bolt (RWS)</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2A6A3E34" w:rsidR="00A446C9" w:rsidRPr="00605E43" w:rsidRDefault="00AF7C4D" w:rsidP="0035243F">
      <w:pPr>
        <w:pStyle w:val="Title"/>
      </w:pPr>
      <w:r>
        <w:t xml:space="preserve">Modernisation </w:t>
      </w:r>
      <w:r w:rsidR="00AA7A71">
        <w:t>Safety Assess</w:t>
      </w:r>
      <w:r>
        <w:t>ment model SAMSON</w:t>
      </w:r>
      <w:r w:rsidR="002A0929">
        <w:rPr>
          <w:rStyle w:val="FootnoteReference"/>
        </w:rPr>
        <w:footnoteReference w:id="3"/>
      </w:r>
    </w:p>
    <w:p w14:paraId="07C0E4F6" w14:textId="77777777" w:rsidR="00AF7C4D" w:rsidRDefault="00AF7C4D" w:rsidP="00AF7C4D">
      <w:pPr>
        <w:pStyle w:val="Heading1"/>
        <w:numPr>
          <w:ilvl w:val="0"/>
          <w:numId w:val="0"/>
        </w:numPr>
        <w:ind w:left="709"/>
      </w:pPr>
    </w:p>
    <w:p w14:paraId="2CC2DB54" w14:textId="78A36FE6" w:rsidR="009874F9" w:rsidRPr="009874F9" w:rsidRDefault="00A446C9" w:rsidP="009874F9">
      <w:pPr>
        <w:pStyle w:val="Heading1"/>
      </w:pPr>
      <w:r w:rsidRPr="00B661C7">
        <w:t>Summary</w:t>
      </w:r>
    </w:p>
    <w:p w14:paraId="33EB8256" w14:textId="7FA4E254" w:rsidR="00FA452E" w:rsidRPr="00FA452E" w:rsidRDefault="00FA452E" w:rsidP="00FA452E">
      <w:pPr>
        <w:pStyle w:val="BodyText"/>
        <w:rPr>
          <w:rFonts w:ascii="Calibri" w:hAnsi="Calibri"/>
        </w:rPr>
      </w:pPr>
      <w:r w:rsidRPr="00FA452E">
        <w:rPr>
          <w:rFonts w:ascii="Calibri" w:hAnsi="Calibri"/>
        </w:rPr>
        <w:t xml:space="preserve">This document informs the committee about recent developments and </w:t>
      </w:r>
      <w:proofErr w:type="gramStart"/>
      <w:r w:rsidRPr="00FA452E">
        <w:rPr>
          <w:rFonts w:ascii="Calibri" w:hAnsi="Calibri"/>
        </w:rPr>
        <w:t>future plans</w:t>
      </w:r>
      <w:proofErr w:type="gramEnd"/>
      <w:r w:rsidRPr="00FA452E">
        <w:rPr>
          <w:rFonts w:ascii="Calibri" w:hAnsi="Calibri"/>
        </w:rPr>
        <w:t xml:space="preserve"> for the Safety Assessment Model SAMSON and seeks guidance on the requirements for including SAMSON within the IALA Risk Management Toolbox. SAMSON is a generic maritime risk assessment model originally developed for the North Sea but applicable worldwide. It estimates the probability, location, and consequences of </w:t>
      </w:r>
      <w:r w:rsidR="000F6F75">
        <w:rPr>
          <w:rFonts w:ascii="Calibri" w:hAnsi="Calibri"/>
        </w:rPr>
        <w:t>maritime</w:t>
      </w:r>
      <w:r w:rsidRPr="00FA452E">
        <w:rPr>
          <w:rFonts w:ascii="Calibri" w:hAnsi="Calibri"/>
        </w:rPr>
        <w:t xml:space="preserve"> accidents using historical casualty data and has been extensively applied</w:t>
      </w:r>
      <w:r w:rsidR="00421B79">
        <w:rPr>
          <w:rFonts w:ascii="Calibri" w:hAnsi="Calibri"/>
        </w:rPr>
        <w:t xml:space="preserve"> </w:t>
      </w:r>
      <w:r w:rsidRPr="00FA452E">
        <w:rPr>
          <w:rFonts w:ascii="Calibri" w:hAnsi="Calibri"/>
        </w:rPr>
        <w:t xml:space="preserve">and enhanced by MARIN </w:t>
      </w:r>
      <w:r w:rsidR="00F64B31">
        <w:rPr>
          <w:rFonts w:ascii="Calibri" w:hAnsi="Calibri"/>
        </w:rPr>
        <w:t xml:space="preserve">together with RWS </w:t>
      </w:r>
      <w:r w:rsidRPr="00FA452E">
        <w:rPr>
          <w:rFonts w:ascii="Calibri" w:hAnsi="Calibri"/>
        </w:rPr>
        <w:t>over several decades.</w:t>
      </w:r>
    </w:p>
    <w:p w14:paraId="3A798A8A" w14:textId="56B2C74E" w:rsidR="00805C8C" w:rsidRPr="00805C8C" w:rsidRDefault="00805C8C" w:rsidP="00805C8C">
      <w:pPr>
        <w:pStyle w:val="BodyText"/>
        <w:rPr>
          <w:rFonts w:ascii="Calibri" w:hAnsi="Calibri"/>
        </w:rPr>
      </w:pPr>
      <w:r w:rsidRPr="00805C8C">
        <w:rPr>
          <w:rFonts w:ascii="Calibri" w:hAnsi="Calibri"/>
        </w:rPr>
        <w:t>To ensure long-term sustainability and relevance in a rapidly evolving maritime environment—particularly due to offshore wind development—a modernization program was launched in 2024. Key changes include redeveloping the software from Fortran to C++, improving traffic modelling by better representing route-bound and non-route-bound vessel behaviour, and updating model assumptions to enable validation against current operational and policy needs. SAMSON 2.0 will combine an open-source core with a licensed, supported version</w:t>
      </w:r>
      <w:r w:rsidR="00F64B31">
        <w:rPr>
          <w:rFonts w:ascii="Calibri" w:hAnsi="Calibri"/>
        </w:rPr>
        <w:t>.</w:t>
      </w:r>
    </w:p>
    <w:p w14:paraId="1F93D7F0" w14:textId="77777777" w:rsidR="00231405" w:rsidRPr="00231405" w:rsidRDefault="00231405" w:rsidP="00231405">
      <w:pPr>
        <w:pStyle w:val="BodyText"/>
        <w:rPr>
          <w:rFonts w:ascii="Calibri" w:hAnsi="Calibri"/>
        </w:rPr>
      </w:pPr>
      <w:r w:rsidRPr="00231405">
        <w:rPr>
          <w:rFonts w:ascii="Calibri" w:hAnsi="Calibri"/>
        </w:rPr>
        <w:t>In parallel, increased cooperation with IWRAP is foreseen, following recent comparative studies that showed differences in absolute risk values but consistent conclusions regarding spatial planning choices. Strengthened collaboration is expected to improve mutual understanding of model assumptions and highlight complementary strengths.</w:t>
      </w:r>
    </w:p>
    <w:p w14:paraId="483A72FC" w14:textId="77777777" w:rsidR="0065201C" w:rsidRPr="007A395D" w:rsidRDefault="0065201C" w:rsidP="00B56BDF">
      <w:pPr>
        <w:pStyle w:val="BodyText"/>
        <w:rPr>
          <w:rFonts w:ascii="Calibri" w:hAnsi="Calibri"/>
        </w:rPr>
      </w:pPr>
    </w:p>
    <w:p w14:paraId="3C575A26" w14:textId="55C03163" w:rsidR="001C44A3" w:rsidRPr="00605E43" w:rsidRDefault="00BD4E6F" w:rsidP="00605E43">
      <w:pPr>
        <w:pStyle w:val="Heading2"/>
      </w:pPr>
      <w:r w:rsidRPr="00605E43">
        <w:t>Purpose</w:t>
      </w:r>
      <w:r w:rsidR="004D1D85" w:rsidRPr="00605E43">
        <w:t xml:space="preserve"> of the document</w:t>
      </w:r>
    </w:p>
    <w:p w14:paraId="134C9FEC" w14:textId="0194814B" w:rsidR="00A82396" w:rsidRDefault="00A82396" w:rsidP="00E55927">
      <w:pPr>
        <w:pStyle w:val="BodyText"/>
        <w:rPr>
          <w:rFonts w:ascii="Calibri" w:hAnsi="Calibri"/>
        </w:rPr>
      </w:pPr>
      <w:r>
        <w:rPr>
          <w:rFonts w:ascii="Calibri" w:hAnsi="Calibri"/>
        </w:rPr>
        <w:t>The purpose of the input paper is to inform the commit</w:t>
      </w:r>
      <w:r w:rsidR="007470AA">
        <w:rPr>
          <w:rFonts w:ascii="Calibri" w:hAnsi="Calibri"/>
        </w:rPr>
        <w:t xml:space="preserve">tee on the developments </w:t>
      </w:r>
      <w:r w:rsidR="009614AC">
        <w:rPr>
          <w:rFonts w:ascii="Calibri" w:hAnsi="Calibri"/>
        </w:rPr>
        <w:t xml:space="preserve">and </w:t>
      </w:r>
      <w:proofErr w:type="gramStart"/>
      <w:r w:rsidR="009614AC">
        <w:rPr>
          <w:rFonts w:ascii="Calibri" w:hAnsi="Calibri"/>
        </w:rPr>
        <w:t>future plans</w:t>
      </w:r>
      <w:proofErr w:type="gramEnd"/>
      <w:r w:rsidR="009614AC">
        <w:rPr>
          <w:rFonts w:ascii="Calibri" w:hAnsi="Calibri"/>
        </w:rPr>
        <w:t xml:space="preserve"> </w:t>
      </w:r>
      <w:r w:rsidR="007470AA">
        <w:rPr>
          <w:rFonts w:ascii="Calibri" w:hAnsi="Calibri"/>
        </w:rPr>
        <w:t>on the Safety Assessment Model SAMSON</w:t>
      </w:r>
      <w:r w:rsidR="009614AC">
        <w:rPr>
          <w:rFonts w:ascii="Calibri" w:hAnsi="Calibri"/>
        </w:rPr>
        <w:t xml:space="preserve"> and to ask the committee </w:t>
      </w:r>
      <w:r w:rsidR="001C3CA6">
        <w:rPr>
          <w:rFonts w:ascii="Calibri" w:hAnsi="Calibri"/>
        </w:rPr>
        <w:t>what is needed to consider SAMSON as part of the IALA Risk management toolbox</w:t>
      </w:r>
      <w:r w:rsidR="00656C67">
        <w:rPr>
          <w:rFonts w:ascii="Calibri" w:hAnsi="Calibri"/>
        </w:rPr>
        <w:t>.</w:t>
      </w:r>
    </w:p>
    <w:p w14:paraId="1D4C1774" w14:textId="77777777" w:rsidR="00656C67" w:rsidRDefault="00656C67" w:rsidP="00E55927">
      <w:pPr>
        <w:pStyle w:val="BodyText"/>
        <w:rPr>
          <w:rFonts w:ascii="Calibri" w:hAnsi="Calibri"/>
        </w:rPr>
      </w:pPr>
    </w:p>
    <w:p w14:paraId="53733F03" w14:textId="75D36D14" w:rsidR="00A446C9" w:rsidRDefault="00A446C9" w:rsidP="00605E43">
      <w:pPr>
        <w:pStyle w:val="Heading1"/>
      </w:pPr>
      <w:r w:rsidRPr="007A395D">
        <w:lastRenderedPageBreak/>
        <w:t>Background</w:t>
      </w:r>
    </w:p>
    <w:p w14:paraId="07E3D6CA" w14:textId="4F4C9B52" w:rsidR="00912178" w:rsidRDefault="00912178" w:rsidP="00912178">
      <w:pPr>
        <w:pStyle w:val="Heading2"/>
      </w:pPr>
      <w:r>
        <w:t>SAMSON</w:t>
      </w:r>
    </w:p>
    <w:p w14:paraId="0248C8ED" w14:textId="324BC467" w:rsidR="00360C11" w:rsidRDefault="0061126E" w:rsidP="0061126E">
      <w:pPr>
        <w:pStyle w:val="BodyText"/>
        <w:rPr>
          <w:rFonts w:ascii="Calibri" w:hAnsi="Calibri"/>
        </w:rPr>
      </w:pPr>
      <w:r w:rsidRPr="0061126E">
        <w:rPr>
          <w:rFonts w:ascii="Calibri" w:hAnsi="Calibri"/>
        </w:rPr>
        <w:t xml:space="preserve">SAMSON stands for: Safety Assessment model for Shipping and Offshore on the North Sea. With the model, various risk assessment calculations can be performed regarding maritime safety. Although the name suggests SAMSON is only applicable for the North Sea, it is a generic model can be applied to any defined geographic location. The model was developed to determine the probabilities, locations and consequences of various </w:t>
      </w:r>
      <w:r w:rsidR="000F6F75">
        <w:rPr>
          <w:rFonts w:ascii="Calibri" w:hAnsi="Calibri"/>
        </w:rPr>
        <w:t>maritime</w:t>
      </w:r>
      <w:r w:rsidRPr="0061126E">
        <w:rPr>
          <w:rFonts w:ascii="Calibri" w:hAnsi="Calibri"/>
        </w:rPr>
        <w:t xml:space="preserve"> accidents, taking into consideration various mitigation measures that could be used to reduce the likelihood of a </w:t>
      </w:r>
      <w:r w:rsidR="000F6F75">
        <w:rPr>
          <w:rFonts w:ascii="Calibri" w:hAnsi="Calibri"/>
        </w:rPr>
        <w:t>maritime</w:t>
      </w:r>
      <w:r w:rsidRPr="0061126E">
        <w:rPr>
          <w:rFonts w:ascii="Calibri" w:hAnsi="Calibri"/>
        </w:rPr>
        <w:t xml:space="preserve"> accident (e.g.: pilotage). </w:t>
      </w:r>
    </w:p>
    <w:p w14:paraId="54391092" w14:textId="2EE30C4E" w:rsidR="00D12572" w:rsidRDefault="00D12572" w:rsidP="00D12572">
      <w:pPr>
        <w:pStyle w:val="BodyText"/>
        <w:rPr>
          <w:rFonts w:ascii="Calibri" w:hAnsi="Calibri"/>
        </w:rPr>
      </w:pPr>
      <w:r w:rsidRPr="00D12572">
        <w:rPr>
          <w:rFonts w:ascii="Calibri" w:hAnsi="Calibri"/>
        </w:rPr>
        <w:t xml:space="preserve">At the core of SAMSON [GP2.1] lies a geometric modelling approach that determines, based on a representation of a given shipping traffic system, the possible dangerous situations. These include encounters between moving vessels, vessels deviating from their intended course due to navigational errors, or vessels becoming uncontrollably adrift </w:t>
      </w:r>
      <w:proofErr w:type="gramStart"/>
      <w:r w:rsidRPr="00D12572">
        <w:rPr>
          <w:rFonts w:ascii="Calibri" w:hAnsi="Calibri"/>
        </w:rPr>
        <w:t>as a result of</w:t>
      </w:r>
      <w:proofErr w:type="gramEnd"/>
      <w:r w:rsidRPr="00D12572">
        <w:rPr>
          <w:rFonts w:ascii="Calibri" w:hAnsi="Calibri"/>
        </w:rPr>
        <w:t xml:space="preserve"> technical failure. By multiplying these “collision candidates” or other possible dangerous situations</w:t>
      </w:r>
      <w:r w:rsidR="004327AF">
        <w:rPr>
          <w:rFonts w:ascii="Calibri" w:hAnsi="Calibri"/>
        </w:rPr>
        <w:t xml:space="preserve"> with the</w:t>
      </w:r>
      <w:r w:rsidRPr="00D12572">
        <w:rPr>
          <w:rFonts w:ascii="Calibri" w:hAnsi="Calibri"/>
        </w:rPr>
        <w:t xml:space="preserve"> probabilities derived from historical incident databases (causation factors or basic accident rates), the model yields the expected number of accidents per </w:t>
      </w:r>
      <w:proofErr w:type="gramStart"/>
      <w:r w:rsidRPr="00D12572">
        <w:rPr>
          <w:rFonts w:ascii="Calibri" w:hAnsi="Calibri"/>
        </w:rPr>
        <w:t>time period</w:t>
      </w:r>
      <w:proofErr w:type="gramEnd"/>
      <w:r w:rsidRPr="00D12572">
        <w:rPr>
          <w:rFonts w:ascii="Calibri" w:hAnsi="Calibri"/>
        </w:rPr>
        <w:t>.</w:t>
      </w:r>
    </w:p>
    <w:p w14:paraId="32AC1060" w14:textId="09BAC680" w:rsidR="0061126E" w:rsidRPr="0061126E" w:rsidRDefault="0061126E" w:rsidP="0061126E">
      <w:pPr>
        <w:pStyle w:val="BodyText"/>
        <w:rPr>
          <w:rFonts w:ascii="Calibri" w:hAnsi="Calibri"/>
        </w:rPr>
      </w:pPr>
      <w:r w:rsidRPr="0061126E">
        <w:rPr>
          <w:rFonts w:ascii="Calibri" w:hAnsi="Calibri"/>
        </w:rPr>
        <w:t xml:space="preserve">The parameters of the accident models are derived from the worldwide casualty data. The SAMSON model was originally developed over 40 years ago and since that time it has been extended, validated and improved by MARIN in various studies performed for Rijkswaterstaat, the EU and Transport Canada. </w:t>
      </w:r>
    </w:p>
    <w:p w14:paraId="7B103AF7" w14:textId="4AF528EB" w:rsidR="007A2C9A" w:rsidRPr="0061126E" w:rsidRDefault="0061126E" w:rsidP="0061126E">
      <w:pPr>
        <w:pStyle w:val="BodyText"/>
        <w:rPr>
          <w:rFonts w:ascii="Calibri" w:hAnsi="Calibri"/>
        </w:rPr>
      </w:pPr>
      <w:r w:rsidRPr="0061126E">
        <w:rPr>
          <w:rFonts w:ascii="Calibri" w:hAnsi="Calibri"/>
        </w:rPr>
        <w:t>A detailed system diagram of the</w:t>
      </w:r>
      <w:r w:rsidR="007A2C9A">
        <w:rPr>
          <w:rFonts w:ascii="Calibri" w:hAnsi="Calibri"/>
        </w:rPr>
        <w:t xml:space="preserve"> current original version of </w:t>
      </w:r>
      <w:r w:rsidRPr="0061126E">
        <w:rPr>
          <w:rFonts w:ascii="Calibri" w:hAnsi="Calibri"/>
        </w:rPr>
        <w:t xml:space="preserve">SAMSON model is presented in </w:t>
      </w:r>
      <w:r w:rsidR="007A2C9A">
        <w:rPr>
          <w:rFonts w:ascii="Calibri" w:hAnsi="Calibri"/>
        </w:rPr>
        <w:fldChar w:fldCharType="begin"/>
      </w:r>
      <w:r w:rsidR="007A2C9A">
        <w:rPr>
          <w:rFonts w:ascii="Calibri" w:hAnsi="Calibri"/>
        </w:rPr>
        <w:instrText xml:space="preserve"> REF _Ref226533642 \h </w:instrText>
      </w:r>
      <w:r w:rsidR="00D12572">
        <w:rPr>
          <w:rFonts w:ascii="Calibri" w:hAnsi="Calibri"/>
        </w:rPr>
        <w:instrText xml:space="preserve"> \* MERGEFORMAT </w:instrText>
      </w:r>
      <w:r w:rsidR="007A2C9A">
        <w:rPr>
          <w:rFonts w:ascii="Calibri" w:hAnsi="Calibri"/>
        </w:rPr>
      </w:r>
      <w:r w:rsidR="007A2C9A">
        <w:rPr>
          <w:rFonts w:ascii="Calibri" w:hAnsi="Calibri"/>
        </w:rPr>
        <w:fldChar w:fldCharType="separate"/>
      </w:r>
      <w:r w:rsidR="00421B79" w:rsidRPr="00421B79">
        <w:rPr>
          <w:rFonts w:ascii="Calibri" w:hAnsi="Calibri"/>
        </w:rPr>
        <w:t>Figure A-1</w:t>
      </w:r>
      <w:r w:rsidR="007A2C9A">
        <w:rPr>
          <w:rFonts w:ascii="Calibri" w:hAnsi="Calibri"/>
        </w:rPr>
        <w:fldChar w:fldCharType="end"/>
      </w:r>
      <w:r w:rsidRPr="0061126E">
        <w:rPr>
          <w:rFonts w:ascii="Calibri" w:hAnsi="Calibri"/>
        </w:rPr>
        <w:t xml:space="preserve">  highlighting the numerous parameters, systems, and impacts that can be considered with SAMSON.  More information </w:t>
      </w:r>
      <w:r w:rsidR="00BD27CF">
        <w:rPr>
          <w:rFonts w:ascii="Calibri" w:hAnsi="Calibri"/>
        </w:rPr>
        <w:t xml:space="preserve">on the </w:t>
      </w:r>
      <w:r w:rsidR="00287B94">
        <w:rPr>
          <w:rFonts w:ascii="Calibri" w:hAnsi="Calibri"/>
        </w:rPr>
        <w:t xml:space="preserve">current version (1.0) </w:t>
      </w:r>
      <w:r w:rsidRPr="0061126E">
        <w:rPr>
          <w:rFonts w:ascii="Calibri" w:hAnsi="Calibri"/>
        </w:rPr>
        <w:t xml:space="preserve">SAMSON can be found in </w:t>
      </w:r>
      <w:r w:rsidR="007A2C9A">
        <w:rPr>
          <w:rFonts w:ascii="Calibri" w:hAnsi="Calibri"/>
        </w:rPr>
        <w:fldChar w:fldCharType="begin"/>
      </w:r>
      <w:r w:rsidR="007A2C9A">
        <w:rPr>
          <w:rFonts w:ascii="Calibri" w:hAnsi="Calibri"/>
        </w:rPr>
        <w:instrText xml:space="preserve"> REF _Ref226533662 \r \h </w:instrText>
      </w:r>
      <w:r w:rsidR="007A2C9A">
        <w:rPr>
          <w:rFonts w:ascii="Calibri" w:hAnsi="Calibri"/>
        </w:rPr>
      </w:r>
      <w:r w:rsidR="007A2C9A">
        <w:rPr>
          <w:rFonts w:ascii="Calibri" w:hAnsi="Calibri"/>
        </w:rPr>
        <w:fldChar w:fldCharType="separate"/>
      </w:r>
      <w:r w:rsidR="00421B79">
        <w:rPr>
          <w:rFonts w:ascii="Calibri" w:hAnsi="Calibri"/>
        </w:rPr>
        <w:t>ANNEX A</w:t>
      </w:r>
      <w:r w:rsidR="007A2C9A">
        <w:rPr>
          <w:rFonts w:ascii="Calibri" w:hAnsi="Calibri"/>
        </w:rPr>
        <w:fldChar w:fldCharType="end"/>
      </w:r>
      <w:r w:rsidRPr="0061126E">
        <w:rPr>
          <w:rFonts w:ascii="Calibri" w:hAnsi="Calibri"/>
        </w:rPr>
        <w:t xml:space="preserve"> and on </w:t>
      </w:r>
      <w:hyperlink r:id="rId11" w:history="1">
        <w:r w:rsidRPr="0061126E">
          <w:rPr>
            <w:rFonts w:ascii="Calibri" w:hAnsi="Calibri"/>
          </w:rPr>
          <w:t>https://www.iala-aism.org/wiki/iwrap/index.php/SAMSON</w:t>
        </w:r>
      </w:hyperlink>
    </w:p>
    <w:p w14:paraId="75C94148" w14:textId="77777777" w:rsidR="00912178" w:rsidRDefault="00912178" w:rsidP="00912178">
      <w:pPr>
        <w:pStyle w:val="BodyText"/>
      </w:pPr>
    </w:p>
    <w:p w14:paraId="07436850" w14:textId="6C7638CC" w:rsidR="00912178" w:rsidRPr="00912178" w:rsidRDefault="00912178" w:rsidP="00912178">
      <w:pPr>
        <w:pStyle w:val="Heading2"/>
      </w:pPr>
      <w:r>
        <w:t>Modernisation of the model</w:t>
      </w:r>
    </w:p>
    <w:p w14:paraId="3112A796" w14:textId="5F0D8E0C" w:rsidR="00032D30" w:rsidRPr="00032D30" w:rsidRDefault="00124249" w:rsidP="00032D30">
      <w:pPr>
        <w:pStyle w:val="BodyText"/>
        <w:rPr>
          <w:rFonts w:ascii="Calibri" w:hAnsi="Calibri"/>
        </w:rPr>
      </w:pPr>
      <w:r>
        <w:rPr>
          <w:rFonts w:ascii="Calibri" w:hAnsi="Calibri"/>
        </w:rPr>
        <w:t>SAMSON</w:t>
      </w:r>
      <w:r w:rsidR="00032D30" w:rsidRPr="00032D30">
        <w:rPr>
          <w:rFonts w:ascii="Calibri" w:hAnsi="Calibri"/>
        </w:rPr>
        <w:t xml:space="preserve"> has a development history that </w:t>
      </w:r>
      <w:proofErr w:type="gramStart"/>
      <w:r w:rsidR="00032D30" w:rsidRPr="00032D30">
        <w:rPr>
          <w:rFonts w:ascii="Calibri" w:hAnsi="Calibri"/>
        </w:rPr>
        <w:t>dates back to</w:t>
      </w:r>
      <w:proofErr w:type="gramEnd"/>
      <w:r w:rsidR="00032D30" w:rsidRPr="00032D30">
        <w:rPr>
          <w:rFonts w:ascii="Calibri" w:hAnsi="Calibri"/>
        </w:rPr>
        <w:t xml:space="preserve"> the late 1970s. In the years that followed, the initially theoretical model was gradually </w:t>
      </w:r>
      <w:r w:rsidR="005C53C3">
        <w:rPr>
          <w:rFonts w:ascii="Calibri" w:hAnsi="Calibri"/>
        </w:rPr>
        <w:t>implemented</w:t>
      </w:r>
      <w:r w:rsidR="00032D30" w:rsidRPr="00032D30">
        <w:rPr>
          <w:rFonts w:ascii="Calibri" w:hAnsi="Calibri"/>
        </w:rPr>
        <w:t xml:space="preserve"> into software code, with the aim</w:t>
      </w:r>
      <w:r w:rsidR="00BB4CCC">
        <w:rPr>
          <w:rFonts w:ascii="Calibri" w:hAnsi="Calibri"/>
        </w:rPr>
        <w:t xml:space="preserve"> </w:t>
      </w:r>
      <w:r w:rsidR="00032D30" w:rsidRPr="00032D30">
        <w:rPr>
          <w:rFonts w:ascii="Calibri" w:hAnsi="Calibri"/>
        </w:rPr>
        <w:t xml:space="preserve">of enabling the calculation of </w:t>
      </w:r>
      <w:r w:rsidR="00BB4CCC" w:rsidRPr="00032D30">
        <w:rPr>
          <w:rFonts w:ascii="Calibri" w:hAnsi="Calibri"/>
        </w:rPr>
        <w:t>—among other things</w:t>
      </w:r>
      <w:r w:rsidR="00BB4CCC">
        <w:rPr>
          <w:rFonts w:ascii="Calibri" w:hAnsi="Calibri"/>
        </w:rPr>
        <w:t xml:space="preserve"> </w:t>
      </w:r>
      <w:r w:rsidR="00BB4CCC" w:rsidRPr="00032D30">
        <w:rPr>
          <w:rFonts w:ascii="Calibri" w:hAnsi="Calibri"/>
        </w:rPr>
        <w:t>—</w:t>
      </w:r>
      <w:r w:rsidR="00032D30" w:rsidRPr="00032D30">
        <w:rPr>
          <w:rFonts w:ascii="Calibri" w:hAnsi="Calibri"/>
        </w:rPr>
        <w:t>collision frequencies between vessels, as well as between vessels and fixed offshore objects.</w:t>
      </w:r>
    </w:p>
    <w:p w14:paraId="17635F14" w14:textId="00FD71B6" w:rsidR="00032D30" w:rsidRPr="00032D30" w:rsidRDefault="00B818CB" w:rsidP="00032D30">
      <w:pPr>
        <w:pStyle w:val="BodyText"/>
        <w:rPr>
          <w:rFonts w:ascii="Calibri" w:hAnsi="Calibri"/>
        </w:rPr>
      </w:pPr>
      <w:r>
        <w:rPr>
          <w:rFonts w:ascii="Calibri" w:hAnsi="Calibri"/>
        </w:rPr>
        <w:t>As the model has evolved over sev</w:t>
      </w:r>
      <w:r w:rsidR="00BF2834">
        <w:rPr>
          <w:rFonts w:ascii="Calibri" w:hAnsi="Calibri"/>
        </w:rPr>
        <w:t>e</w:t>
      </w:r>
      <w:r>
        <w:rPr>
          <w:rFonts w:ascii="Calibri" w:hAnsi="Calibri"/>
        </w:rPr>
        <w:t xml:space="preserve">ral decades, both software and the associated </w:t>
      </w:r>
      <w:r w:rsidR="008D2FF7">
        <w:rPr>
          <w:rFonts w:ascii="Calibri" w:hAnsi="Calibri"/>
        </w:rPr>
        <w:t>workflows</w:t>
      </w:r>
      <w:r>
        <w:rPr>
          <w:rFonts w:ascii="Calibri" w:hAnsi="Calibri"/>
        </w:rPr>
        <w:t xml:space="preserve"> have developed incrementally, </w:t>
      </w:r>
      <w:r w:rsidR="00032D30" w:rsidRPr="00032D30">
        <w:rPr>
          <w:rFonts w:ascii="Calibri" w:hAnsi="Calibri"/>
        </w:rPr>
        <w:t>with a focus</w:t>
      </w:r>
      <w:r>
        <w:rPr>
          <w:rFonts w:ascii="Calibri" w:hAnsi="Calibri"/>
        </w:rPr>
        <w:t>/emphasis</w:t>
      </w:r>
      <w:r w:rsidR="00032D30" w:rsidRPr="00032D30">
        <w:rPr>
          <w:rFonts w:ascii="Calibri" w:hAnsi="Calibri"/>
        </w:rPr>
        <w:t xml:space="preserve"> on extending functionality while maintaining the model </w:t>
      </w:r>
      <w:r w:rsidR="00032D30" w:rsidRPr="00FA6FF1">
        <w:rPr>
          <w:rFonts w:ascii="Calibri" w:hAnsi="Calibri"/>
        </w:rPr>
        <w:t>in line</w:t>
      </w:r>
      <w:r w:rsidR="00032D30" w:rsidRPr="00032D30">
        <w:rPr>
          <w:rFonts w:ascii="Calibri" w:hAnsi="Calibri"/>
        </w:rPr>
        <w:t xml:space="preserve"> with </w:t>
      </w:r>
      <w:r w:rsidR="00032D30" w:rsidRPr="00FA6FF1">
        <w:rPr>
          <w:rFonts w:ascii="Calibri" w:hAnsi="Calibri"/>
        </w:rPr>
        <w:t>its</w:t>
      </w:r>
      <w:r w:rsidR="00032D30" w:rsidRPr="00032D30">
        <w:rPr>
          <w:rFonts w:ascii="Calibri" w:hAnsi="Calibri"/>
        </w:rPr>
        <w:t xml:space="preserve"> original design. Over time, however, the architecture of the model has become outdated. In addition, not all sub-models have been applied to the same extent, resulting in uneven maintenance. Several assumptions within the model also lack thorough validation and, </w:t>
      </w:r>
      <w:proofErr w:type="gramStart"/>
      <w:r w:rsidR="00032D30" w:rsidRPr="00032D30">
        <w:rPr>
          <w:rFonts w:ascii="Calibri" w:hAnsi="Calibri"/>
        </w:rPr>
        <w:t>in light of</w:t>
      </w:r>
      <w:proofErr w:type="gramEnd"/>
      <w:r w:rsidR="00032D30" w:rsidRPr="00032D30">
        <w:rPr>
          <w:rFonts w:ascii="Calibri" w:hAnsi="Calibri"/>
        </w:rPr>
        <w:t xml:space="preserve"> significant developments in offshore infrastructure—such as the expansion of offshore wind energy areas—have become due for reassessment.</w:t>
      </w:r>
    </w:p>
    <w:p w14:paraId="5A432E19" w14:textId="77777777" w:rsidR="00032D30" w:rsidRDefault="00032D30" w:rsidP="00032D30">
      <w:pPr>
        <w:pStyle w:val="BodyText"/>
        <w:rPr>
          <w:rFonts w:ascii="Calibri" w:hAnsi="Calibri"/>
        </w:rPr>
      </w:pPr>
      <w:r w:rsidRPr="00032D30">
        <w:rPr>
          <w:rFonts w:ascii="Calibri" w:hAnsi="Calibri"/>
        </w:rPr>
        <w:t>For these reasons, a modernization program for SAMSON was initiated in 2024. The objective of this program is to bring the software up to contemporary standards, accommodate changes in data usage, and improve or adapt the computational models to enable validation and alignment with current and future operational contexts and policy questions.</w:t>
      </w:r>
    </w:p>
    <w:p w14:paraId="66B6E0EA" w14:textId="512C00AF" w:rsidR="0065201C" w:rsidRDefault="0065201C">
      <w:pPr>
        <w:spacing w:line="240" w:lineRule="auto"/>
        <w:rPr>
          <w:rFonts w:ascii="Calibri" w:hAnsi="Calibri"/>
          <w:sz w:val="22"/>
        </w:rPr>
      </w:pPr>
    </w:p>
    <w:p w14:paraId="40ABAAE2" w14:textId="77777777" w:rsidR="00DE6FB4" w:rsidRDefault="00DE6FB4">
      <w:pPr>
        <w:spacing w:line="240" w:lineRule="auto"/>
        <w:rPr>
          <w:rFonts w:ascii="Calibri" w:eastAsiaTheme="majorEastAsia" w:hAnsi="Calibri" w:cstheme="majorBidi"/>
          <w:b/>
          <w:bCs/>
          <w:caps/>
          <w:color w:val="00558C"/>
          <w:sz w:val="28"/>
          <w:szCs w:val="24"/>
        </w:rPr>
      </w:pPr>
      <w:r>
        <w:br w:type="page"/>
      </w:r>
    </w:p>
    <w:p w14:paraId="041E9135" w14:textId="5227170A" w:rsidR="00A446C9" w:rsidRPr="007A395D" w:rsidRDefault="00A446C9" w:rsidP="00605E43">
      <w:pPr>
        <w:pStyle w:val="Heading1"/>
      </w:pPr>
      <w:r w:rsidRPr="007A395D">
        <w:lastRenderedPageBreak/>
        <w:t>Discussion</w:t>
      </w:r>
    </w:p>
    <w:p w14:paraId="23B5467E" w14:textId="3E6FF48B" w:rsidR="00F25BF4" w:rsidRDefault="0010698E" w:rsidP="00A446C9">
      <w:pPr>
        <w:pStyle w:val="BodyText"/>
        <w:rPr>
          <w:rFonts w:ascii="Calibri" w:hAnsi="Calibri"/>
        </w:rPr>
      </w:pPr>
      <w:r>
        <w:rPr>
          <w:rFonts w:ascii="Calibri" w:hAnsi="Calibri"/>
        </w:rPr>
        <w:t xml:space="preserve">Some of the major </w:t>
      </w:r>
      <w:r w:rsidR="00DE6FB4">
        <w:rPr>
          <w:rFonts w:ascii="Calibri" w:hAnsi="Calibri"/>
        </w:rPr>
        <w:t xml:space="preserve">developments of the past years regarding the </w:t>
      </w:r>
      <w:r>
        <w:rPr>
          <w:rFonts w:ascii="Calibri" w:hAnsi="Calibri"/>
        </w:rPr>
        <w:t>SAMSON-model are described in this chapter</w:t>
      </w:r>
      <w:r w:rsidR="00890429">
        <w:rPr>
          <w:rFonts w:ascii="Calibri" w:hAnsi="Calibri"/>
        </w:rPr>
        <w:t>, this include the changing of the code and some adjustment to the mathematical models</w:t>
      </w:r>
      <w:r w:rsidR="003A7154">
        <w:rPr>
          <w:rFonts w:ascii="Calibri" w:hAnsi="Calibri"/>
        </w:rPr>
        <w:t xml:space="preserve"> as well as the fact that the model will be provided as “open source”</w:t>
      </w:r>
      <w:r w:rsidR="00133425">
        <w:rPr>
          <w:rFonts w:ascii="Calibri" w:hAnsi="Calibri"/>
        </w:rPr>
        <w:t xml:space="preserve">. </w:t>
      </w:r>
      <w:proofErr w:type="gramStart"/>
      <w:r w:rsidR="00133425">
        <w:rPr>
          <w:rFonts w:ascii="Calibri" w:hAnsi="Calibri"/>
        </w:rPr>
        <w:t>Finally</w:t>
      </w:r>
      <w:proofErr w:type="gramEnd"/>
      <w:r w:rsidR="00133425">
        <w:rPr>
          <w:rFonts w:ascii="Calibri" w:hAnsi="Calibri"/>
        </w:rPr>
        <w:t xml:space="preserve"> a suggestion is made for a </w:t>
      </w:r>
      <w:r w:rsidR="00CF00E2">
        <w:rPr>
          <w:rFonts w:ascii="Calibri" w:hAnsi="Calibri"/>
        </w:rPr>
        <w:t>further cooperation with IWRAP.</w:t>
      </w:r>
    </w:p>
    <w:p w14:paraId="2976DF9C" w14:textId="0EE28204" w:rsidR="00DC66A8" w:rsidRDefault="0059113E" w:rsidP="0059113E">
      <w:pPr>
        <w:pStyle w:val="Heading2"/>
      </w:pPr>
      <w:r>
        <w:t>Code language</w:t>
      </w:r>
    </w:p>
    <w:p w14:paraId="7DF21D6C" w14:textId="617B0E04" w:rsidR="007A3ED8" w:rsidRPr="007A3ED8" w:rsidRDefault="007A3ED8" w:rsidP="007A3ED8">
      <w:pPr>
        <w:spacing w:line="300" w:lineRule="atLeast"/>
        <w:jc w:val="both"/>
        <w:rPr>
          <w:rFonts w:ascii="Calibri" w:hAnsi="Calibri"/>
          <w:sz w:val="22"/>
        </w:rPr>
      </w:pPr>
      <w:r w:rsidRPr="007A3ED8">
        <w:rPr>
          <w:rFonts w:ascii="Calibri" w:hAnsi="Calibri"/>
          <w:sz w:val="22"/>
        </w:rPr>
        <w:t xml:space="preserve">The software in which the models within the SAMSON framework are implemented is currently being </w:t>
      </w:r>
      <w:r>
        <w:rPr>
          <w:rFonts w:ascii="Calibri" w:hAnsi="Calibri"/>
          <w:sz w:val="22"/>
        </w:rPr>
        <w:t>m</w:t>
      </w:r>
      <w:r w:rsidRPr="007A3ED8">
        <w:rPr>
          <w:rFonts w:ascii="Calibri" w:hAnsi="Calibri"/>
          <w:sz w:val="22"/>
        </w:rPr>
        <w:t>odernized. This modernization effort covers both the source code and the overall software architecture. The original SAMSON model was developed in Fortran. Although Fortran remains well suited for large-scale numerical computations, sufficient in-house expertise is no longer available at MARIN to adequately maintain and further modernize the software. To enhance the long-term sustainability and maintainability of the code and its architecture, adopting a more widely used programming language is a logical step. It was therefore decided to redevelop the SAMSON software in C++. While other programming languages could offer comparable performance, MARIN has extensive positive experience with C++ for applications involving large volumes of data.</w:t>
      </w:r>
    </w:p>
    <w:p w14:paraId="06955635" w14:textId="2B9B3810" w:rsidR="0010698E" w:rsidRDefault="0010698E" w:rsidP="000C3E76">
      <w:pPr>
        <w:pStyle w:val="Heading2"/>
      </w:pPr>
      <w:r>
        <w:t xml:space="preserve">Modelling </w:t>
      </w:r>
      <w:r w:rsidR="000C3E76">
        <w:t>route</w:t>
      </w:r>
      <w:r w:rsidR="00C81FCE">
        <w:t xml:space="preserve">-bound and </w:t>
      </w:r>
      <w:r w:rsidR="000C3E76">
        <w:t>non-route</w:t>
      </w:r>
      <w:r w:rsidR="00C81FCE">
        <w:t>-</w:t>
      </w:r>
      <w:r w:rsidR="000C3E76">
        <w:t>bound traffic</w:t>
      </w:r>
    </w:p>
    <w:p w14:paraId="55D67616" w14:textId="60CEFA60" w:rsidR="00D1726A" w:rsidRPr="00D1726A" w:rsidRDefault="00D1726A" w:rsidP="00792C7A">
      <w:pPr>
        <w:pStyle w:val="BodyText"/>
        <w:rPr>
          <w:rFonts w:ascii="Calibri" w:hAnsi="Calibri"/>
        </w:rPr>
      </w:pPr>
      <w:r w:rsidRPr="00D1726A">
        <w:rPr>
          <w:rFonts w:ascii="Calibri" w:hAnsi="Calibri"/>
        </w:rPr>
        <w:t>The development of offshore wind has only accelerated in recent years, meaning that the existing models have not yet been adapted accordingly. As a result, modelling traffic in and around wind farms is currently possible only with a high degree of uncertainty, because the behaviour of this traffic does not align with the assumptions embedded in the current model. Within the existing model</w:t>
      </w:r>
      <w:r w:rsidR="00046524">
        <w:rPr>
          <w:rFonts w:ascii="Calibri" w:hAnsi="Calibri"/>
        </w:rPr>
        <w:t xml:space="preserve"> the </w:t>
      </w:r>
      <w:r w:rsidR="00736E22">
        <w:rPr>
          <w:rFonts w:ascii="Calibri" w:hAnsi="Calibri"/>
        </w:rPr>
        <w:t>actual</w:t>
      </w:r>
      <w:r w:rsidR="00046524">
        <w:rPr>
          <w:rFonts w:ascii="Calibri" w:hAnsi="Calibri"/>
        </w:rPr>
        <w:t xml:space="preserve"> behaviour of the vessel is not fully </w:t>
      </w:r>
      <w:proofErr w:type="gramStart"/>
      <w:r w:rsidR="00046524">
        <w:rPr>
          <w:rFonts w:ascii="Calibri" w:hAnsi="Calibri"/>
        </w:rPr>
        <w:t>taken into account</w:t>
      </w:r>
      <w:proofErr w:type="gramEnd"/>
      <w:r w:rsidR="00046524">
        <w:rPr>
          <w:rFonts w:ascii="Calibri" w:hAnsi="Calibri"/>
        </w:rPr>
        <w:t xml:space="preserve"> when defining the </w:t>
      </w:r>
      <w:r w:rsidR="006D0096">
        <w:rPr>
          <w:rFonts w:ascii="Calibri" w:hAnsi="Calibri"/>
        </w:rPr>
        <w:t>abstract representation o</w:t>
      </w:r>
      <w:r w:rsidR="00736E22">
        <w:rPr>
          <w:rFonts w:ascii="Calibri" w:hAnsi="Calibri"/>
        </w:rPr>
        <w:t>f</w:t>
      </w:r>
      <w:r w:rsidR="006D0096">
        <w:rPr>
          <w:rFonts w:ascii="Calibri" w:hAnsi="Calibri"/>
        </w:rPr>
        <w:t xml:space="preserve"> the traffic as input for the model. </w:t>
      </w:r>
    </w:p>
    <w:p w14:paraId="152FA58B" w14:textId="5A3F0709" w:rsidR="007379F3" w:rsidRPr="007379F3" w:rsidRDefault="00B818CB" w:rsidP="00792C7A">
      <w:pPr>
        <w:pStyle w:val="BodyText"/>
        <w:rPr>
          <w:rFonts w:ascii="Calibri" w:hAnsi="Calibri"/>
        </w:rPr>
      </w:pPr>
      <w:r>
        <w:rPr>
          <w:rFonts w:ascii="Calibri" w:hAnsi="Calibri"/>
        </w:rPr>
        <w:t>Within</w:t>
      </w:r>
      <w:r w:rsidR="006749E3" w:rsidRPr="00792C7A">
        <w:rPr>
          <w:rFonts w:ascii="Calibri" w:hAnsi="Calibri"/>
        </w:rPr>
        <w:t xml:space="preserve"> the current version of SAMSON</w:t>
      </w:r>
      <w:r w:rsidR="005F5B90">
        <w:rPr>
          <w:rFonts w:ascii="Calibri" w:hAnsi="Calibri"/>
        </w:rPr>
        <w:t xml:space="preserve"> (version 1.0)</w:t>
      </w:r>
      <w:r w:rsidR="006749E3" w:rsidRPr="00792C7A">
        <w:rPr>
          <w:rFonts w:ascii="Calibri" w:hAnsi="Calibri"/>
        </w:rPr>
        <w:t xml:space="preserve"> the </w:t>
      </w:r>
      <w:r w:rsidR="007379F3" w:rsidRPr="007379F3">
        <w:rPr>
          <w:rFonts w:ascii="Calibri" w:hAnsi="Calibri"/>
        </w:rPr>
        <w:t>distinction between route</w:t>
      </w:r>
      <w:r w:rsidR="007379F3" w:rsidRPr="007379F3">
        <w:rPr>
          <w:rFonts w:ascii="Calibri" w:hAnsi="Calibri"/>
        </w:rPr>
        <w:noBreakHyphen/>
        <w:t>bound and non</w:t>
      </w:r>
      <w:r w:rsidR="007379F3" w:rsidRPr="007379F3">
        <w:rPr>
          <w:rFonts w:ascii="Calibri" w:hAnsi="Calibri"/>
        </w:rPr>
        <w:noBreakHyphen/>
        <w:t>route</w:t>
      </w:r>
      <w:r w:rsidR="007379F3" w:rsidRPr="007379F3">
        <w:rPr>
          <w:rFonts w:ascii="Calibri" w:hAnsi="Calibri"/>
        </w:rPr>
        <w:noBreakHyphen/>
        <w:t xml:space="preserve">bound traffic was made solely </w:t>
      </w:r>
      <w:proofErr w:type="gramStart"/>
      <w:r w:rsidR="007379F3" w:rsidRPr="007379F3">
        <w:rPr>
          <w:rFonts w:ascii="Calibri" w:hAnsi="Calibri"/>
        </w:rPr>
        <w:t>on the basis of</w:t>
      </w:r>
      <w:proofErr w:type="gramEnd"/>
      <w:r w:rsidR="007379F3" w:rsidRPr="007379F3">
        <w:rPr>
          <w:rFonts w:ascii="Calibri" w:hAnsi="Calibri"/>
        </w:rPr>
        <w:t xml:space="preserve"> vessel type</w:t>
      </w:r>
      <w:r w:rsidR="00467C09">
        <w:rPr>
          <w:rFonts w:ascii="Calibri" w:hAnsi="Calibri"/>
        </w:rPr>
        <w:t>, e.g. container, passenger, fishing or work boat.</w:t>
      </w:r>
      <w:r w:rsidR="007379F3" w:rsidRPr="007379F3">
        <w:rPr>
          <w:rFonts w:ascii="Calibri" w:hAnsi="Calibri"/>
        </w:rPr>
        <w:t xml:space="preserve"> In the revised modelling approach</w:t>
      </w:r>
      <w:r>
        <w:rPr>
          <w:rFonts w:ascii="Calibri" w:hAnsi="Calibri"/>
        </w:rPr>
        <w:t xml:space="preserve"> within SAMSON</w:t>
      </w:r>
      <w:r w:rsidR="00233183">
        <w:rPr>
          <w:rFonts w:ascii="Calibri" w:hAnsi="Calibri"/>
        </w:rPr>
        <w:t xml:space="preserve"> </w:t>
      </w:r>
      <w:r>
        <w:rPr>
          <w:rFonts w:ascii="Calibri" w:hAnsi="Calibri"/>
        </w:rPr>
        <w:t>2.0</w:t>
      </w:r>
      <w:r w:rsidR="007379F3" w:rsidRPr="007379F3">
        <w:rPr>
          <w:rFonts w:ascii="Calibri" w:hAnsi="Calibri"/>
        </w:rPr>
        <w:t xml:space="preserve">, differences in behaviour are also </w:t>
      </w:r>
      <w:proofErr w:type="gramStart"/>
      <w:r w:rsidR="007379F3" w:rsidRPr="007379F3">
        <w:rPr>
          <w:rFonts w:ascii="Calibri" w:hAnsi="Calibri"/>
        </w:rPr>
        <w:t>taken into account</w:t>
      </w:r>
      <w:proofErr w:type="gramEnd"/>
      <w:r w:rsidR="007379F3" w:rsidRPr="007379F3">
        <w:rPr>
          <w:rFonts w:ascii="Calibri" w:hAnsi="Calibri"/>
        </w:rPr>
        <w:t xml:space="preserve"> independently of vessel type. “Route</w:t>
      </w:r>
      <w:r w:rsidR="007379F3" w:rsidRPr="007379F3">
        <w:rPr>
          <w:rFonts w:ascii="Calibri" w:hAnsi="Calibri"/>
        </w:rPr>
        <w:noBreakHyphen/>
        <w:t xml:space="preserve">bound” behaviour </w:t>
      </w:r>
      <w:r w:rsidR="006B09E7">
        <w:rPr>
          <w:rFonts w:ascii="Calibri" w:hAnsi="Calibri"/>
        </w:rPr>
        <w:t xml:space="preserve">(e.g. sailing in </w:t>
      </w:r>
      <w:proofErr w:type="gramStart"/>
      <w:r w:rsidR="006B09E7">
        <w:rPr>
          <w:rFonts w:ascii="Calibri" w:hAnsi="Calibri"/>
        </w:rPr>
        <w:t>transit )</w:t>
      </w:r>
      <w:proofErr w:type="gramEnd"/>
      <w:r w:rsidR="006B09E7">
        <w:rPr>
          <w:rFonts w:ascii="Calibri" w:hAnsi="Calibri"/>
        </w:rPr>
        <w:t xml:space="preserve"> </w:t>
      </w:r>
      <w:r w:rsidR="007379F3" w:rsidRPr="007379F3">
        <w:rPr>
          <w:rFonts w:ascii="Calibri" w:hAnsi="Calibri"/>
        </w:rPr>
        <w:t>is translated into a route network, comparable to the approach used within IWRAP. “Non</w:t>
      </w:r>
      <w:r w:rsidR="007379F3" w:rsidRPr="007379F3">
        <w:rPr>
          <w:rFonts w:ascii="Calibri" w:hAnsi="Calibri"/>
        </w:rPr>
        <w:noBreakHyphen/>
        <w:t>route</w:t>
      </w:r>
      <w:r w:rsidR="007379F3" w:rsidRPr="007379F3">
        <w:rPr>
          <w:rFonts w:ascii="Calibri" w:hAnsi="Calibri"/>
        </w:rPr>
        <w:noBreakHyphen/>
        <w:t>bound” behaviour</w:t>
      </w:r>
      <w:r w:rsidR="00AB61CA">
        <w:rPr>
          <w:rFonts w:ascii="Calibri" w:hAnsi="Calibri"/>
        </w:rPr>
        <w:t xml:space="preserve"> (e.g. active fishing, dredging, working inside </w:t>
      </w:r>
      <w:proofErr w:type="gramStart"/>
      <w:r w:rsidR="00AB61CA">
        <w:rPr>
          <w:rFonts w:ascii="Calibri" w:hAnsi="Calibri"/>
        </w:rPr>
        <w:t xml:space="preserve">windfarms) </w:t>
      </w:r>
      <w:r w:rsidR="007379F3" w:rsidRPr="007379F3">
        <w:rPr>
          <w:rFonts w:ascii="Calibri" w:hAnsi="Calibri"/>
        </w:rPr>
        <w:t xml:space="preserve"> is</w:t>
      </w:r>
      <w:proofErr w:type="gramEnd"/>
      <w:r w:rsidR="007379F3" w:rsidRPr="007379F3">
        <w:rPr>
          <w:rFonts w:ascii="Calibri" w:hAnsi="Calibri"/>
        </w:rPr>
        <w:t xml:space="preserve"> translated into traffic intensity per grid cell. Within SAMSON 2.0, the observed distribution of sailing directions within each grid cell is also </w:t>
      </w:r>
      <w:proofErr w:type="gramStart"/>
      <w:r w:rsidR="007379F3" w:rsidRPr="007379F3">
        <w:rPr>
          <w:rFonts w:ascii="Calibri" w:hAnsi="Calibri"/>
        </w:rPr>
        <w:t>taken into account</w:t>
      </w:r>
      <w:proofErr w:type="gramEnd"/>
      <w:r w:rsidR="007379F3" w:rsidRPr="007379F3">
        <w:rPr>
          <w:rFonts w:ascii="Calibri" w:hAnsi="Calibri"/>
        </w:rPr>
        <w:t xml:space="preserve">. In addition, different speed profiles can be incorporated for </w:t>
      </w:r>
      <w:r w:rsidR="00677A4C">
        <w:rPr>
          <w:rFonts w:ascii="Calibri" w:hAnsi="Calibri"/>
        </w:rPr>
        <w:t>each of the</w:t>
      </w:r>
      <w:r w:rsidR="007379F3" w:rsidRPr="007379F3">
        <w:rPr>
          <w:rFonts w:ascii="Calibri" w:hAnsi="Calibri"/>
        </w:rPr>
        <w:t xml:space="preserve"> vessel types</w:t>
      </w:r>
      <w:r w:rsidR="00677A4C">
        <w:rPr>
          <w:rFonts w:ascii="Calibri" w:hAnsi="Calibri"/>
        </w:rPr>
        <w:t xml:space="preserve"> (type and behaviour)</w:t>
      </w:r>
      <w:r w:rsidR="007379F3" w:rsidRPr="007379F3">
        <w:rPr>
          <w:rFonts w:ascii="Calibri" w:hAnsi="Calibri"/>
        </w:rPr>
        <w:t>.</w:t>
      </w:r>
    </w:p>
    <w:p w14:paraId="5FEE7C45" w14:textId="0F3ADFFC" w:rsidR="007379F3" w:rsidRPr="007379F3" w:rsidRDefault="00F01507" w:rsidP="00792C7A">
      <w:pPr>
        <w:pStyle w:val="BodyText"/>
        <w:rPr>
          <w:rFonts w:ascii="Calibri" w:hAnsi="Calibri"/>
        </w:rPr>
      </w:pPr>
      <w:r>
        <w:rPr>
          <w:rFonts w:ascii="Calibri" w:hAnsi="Calibri"/>
        </w:rPr>
        <w:t>More detailed modelling of the vessels with “non-route-bound” behaviour</w:t>
      </w:r>
      <w:r w:rsidR="001B6E97">
        <w:rPr>
          <w:rFonts w:ascii="Calibri" w:hAnsi="Calibri"/>
        </w:rPr>
        <w:t xml:space="preserve"> </w:t>
      </w:r>
      <w:proofErr w:type="gramStart"/>
      <w:r w:rsidR="007379F3" w:rsidRPr="007379F3">
        <w:rPr>
          <w:rFonts w:ascii="Calibri" w:hAnsi="Calibri"/>
        </w:rPr>
        <w:t>lead</w:t>
      </w:r>
      <w:proofErr w:type="gramEnd"/>
      <w:r w:rsidR="007379F3" w:rsidRPr="007379F3">
        <w:rPr>
          <w:rFonts w:ascii="Calibri" w:hAnsi="Calibri"/>
        </w:rPr>
        <w:t xml:space="preserve"> to </w:t>
      </w:r>
      <w:r w:rsidR="001B6E97">
        <w:rPr>
          <w:rFonts w:ascii="Calibri" w:hAnsi="Calibri"/>
        </w:rPr>
        <w:t xml:space="preserve">an </w:t>
      </w:r>
      <w:r w:rsidR="00541CF8">
        <w:rPr>
          <w:rFonts w:ascii="Calibri" w:hAnsi="Calibri"/>
        </w:rPr>
        <w:t xml:space="preserve">overall </w:t>
      </w:r>
      <w:r w:rsidR="007379F3" w:rsidRPr="007379F3">
        <w:rPr>
          <w:rFonts w:ascii="Calibri" w:hAnsi="Calibri"/>
        </w:rPr>
        <w:t xml:space="preserve">improved modelling of vessel traffic behaviour, particularly in </w:t>
      </w:r>
      <w:r w:rsidR="00F52E60">
        <w:rPr>
          <w:rFonts w:ascii="Calibri" w:hAnsi="Calibri"/>
        </w:rPr>
        <w:t>a</w:t>
      </w:r>
      <w:r w:rsidR="007379F3" w:rsidRPr="00164123">
        <w:rPr>
          <w:rFonts w:ascii="Calibri" w:hAnsi="Calibri"/>
        </w:rPr>
        <w:t xml:space="preserve"> </w:t>
      </w:r>
      <w:r w:rsidR="007379F3" w:rsidRPr="007379F3">
        <w:rPr>
          <w:rFonts w:ascii="Calibri" w:hAnsi="Calibri"/>
        </w:rPr>
        <w:t>maritime environment</w:t>
      </w:r>
      <w:r w:rsidR="00345C78">
        <w:rPr>
          <w:rFonts w:ascii="Calibri" w:hAnsi="Calibri"/>
        </w:rPr>
        <w:t xml:space="preserve"> that is changing rapidly due to the expansion of offshore wind farms and</w:t>
      </w:r>
      <w:r w:rsidR="00F52E60">
        <w:rPr>
          <w:rFonts w:ascii="Calibri" w:hAnsi="Calibri"/>
        </w:rPr>
        <w:t xml:space="preserve"> </w:t>
      </w:r>
      <w:r w:rsidR="00345C78">
        <w:rPr>
          <w:rFonts w:ascii="Calibri" w:hAnsi="Calibri"/>
        </w:rPr>
        <w:t>other offshore activities</w:t>
      </w:r>
      <w:r w:rsidR="00F52E60">
        <w:rPr>
          <w:rFonts w:ascii="Calibri" w:hAnsi="Calibri"/>
        </w:rPr>
        <w:t>.</w:t>
      </w:r>
    </w:p>
    <w:p w14:paraId="4A98C575" w14:textId="438C9E55" w:rsidR="00541CF8" w:rsidRDefault="004E699A" w:rsidP="004E699A">
      <w:pPr>
        <w:pStyle w:val="Heading2"/>
      </w:pPr>
      <w:r>
        <w:t>Adjustment in ship-object model</w:t>
      </w:r>
    </w:p>
    <w:p w14:paraId="7A69ABC9" w14:textId="75FFF85B" w:rsidR="000716FD" w:rsidRPr="000716FD" w:rsidRDefault="000716FD" w:rsidP="000716FD">
      <w:pPr>
        <w:pStyle w:val="BodyText"/>
        <w:rPr>
          <w:rFonts w:ascii="Calibri" w:hAnsi="Calibri"/>
        </w:rPr>
      </w:pPr>
      <w:r w:rsidRPr="000716FD">
        <w:rPr>
          <w:rFonts w:ascii="Calibri" w:hAnsi="Calibri"/>
        </w:rPr>
        <w:t>Some of the basic assumptions within the model for ship–object collisions have been adjusted to better prepare for changing demands. In the updated model, objects can be of arbitrary shape; we are no longer restricted to lines or rectangles. This makes it possible to easily provide areas (e.g. wind farm of solar constructions) as input to the model.</w:t>
      </w:r>
      <w:r w:rsidR="009A6537">
        <w:rPr>
          <w:rFonts w:ascii="Calibri" w:hAnsi="Calibri"/>
        </w:rPr>
        <w:t xml:space="preserve"> </w:t>
      </w:r>
      <w:r w:rsidRPr="000716FD">
        <w:rPr>
          <w:rFonts w:ascii="Calibri" w:hAnsi="Calibri"/>
        </w:rPr>
        <w:t xml:space="preserve">In addition, the model can account for the fact that one object can be blocked by another object, meaning that shielding effects are </w:t>
      </w:r>
      <w:proofErr w:type="gramStart"/>
      <w:r w:rsidRPr="000716FD">
        <w:rPr>
          <w:rFonts w:ascii="Calibri" w:hAnsi="Calibri"/>
        </w:rPr>
        <w:t>taken into account</w:t>
      </w:r>
      <w:proofErr w:type="gramEnd"/>
      <w:r w:rsidRPr="000716FD">
        <w:rPr>
          <w:rFonts w:ascii="Calibri" w:hAnsi="Calibri"/>
        </w:rPr>
        <w:t>. This is particularly relevant when modelling a wind farm or when automatically including shallow areas in the calculations. Furthermore, a height can now be assigned to an object, relevant when modelling detailed bridge collisions.</w:t>
      </w:r>
    </w:p>
    <w:p w14:paraId="42F04424" w14:textId="77777777" w:rsidR="000716FD" w:rsidRPr="000716FD" w:rsidRDefault="000716FD" w:rsidP="000716FD">
      <w:pPr>
        <w:pStyle w:val="BodyText"/>
        <w:rPr>
          <w:rFonts w:ascii="Calibri" w:hAnsi="Calibri"/>
        </w:rPr>
      </w:pPr>
      <w:r w:rsidRPr="000716FD">
        <w:rPr>
          <w:rFonts w:ascii="Calibri" w:hAnsi="Calibri"/>
        </w:rPr>
        <w:t>Finally, the drift model has been updated so that drift direction is now a function of tide, current and wind, where it was previously assumed that the drift direction was purely dependent on wind direction.</w:t>
      </w:r>
    </w:p>
    <w:p w14:paraId="11DC3B91" w14:textId="77777777" w:rsidR="00536BE8" w:rsidRPr="000716FD" w:rsidRDefault="00536BE8" w:rsidP="000C3E76">
      <w:pPr>
        <w:pStyle w:val="BodyText"/>
      </w:pPr>
    </w:p>
    <w:p w14:paraId="01ECD969" w14:textId="6E598E1D" w:rsidR="007379F3" w:rsidRDefault="00AF1B1E" w:rsidP="00AF1B1E">
      <w:pPr>
        <w:pStyle w:val="Heading2"/>
        <w:rPr>
          <w:lang w:val="en-US"/>
        </w:rPr>
      </w:pPr>
      <w:r>
        <w:rPr>
          <w:lang w:val="en-US"/>
        </w:rPr>
        <w:lastRenderedPageBreak/>
        <w:t>Open source</w:t>
      </w:r>
    </w:p>
    <w:p w14:paraId="1B1653C8" w14:textId="62C015A4" w:rsidR="00942F46" w:rsidRPr="00153DE6" w:rsidRDefault="00AF1B1E" w:rsidP="009230A6">
      <w:pPr>
        <w:pStyle w:val="BodyText"/>
        <w:rPr>
          <w:rFonts w:ascii="Calibri" w:hAnsi="Calibri"/>
          <w:strike/>
        </w:rPr>
      </w:pPr>
      <w:r w:rsidRPr="00792C7A">
        <w:rPr>
          <w:rFonts w:ascii="Calibri" w:hAnsi="Calibri"/>
        </w:rPr>
        <w:t>The development</w:t>
      </w:r>
      <w:r w:rsidR="00EF5ECC">
        <w:rPr>
          <w:rFonts w:ascii="Calibri" w:hAnsi="Calibri"/>
        </w:rPr>
        <w:t>s</w:t>
      </w:r>
      <w:r w:rsidRPr="00792C7A">
        <w:rPr>
          <w:rFonts w:ascii="Calibri" w:hAnsi="Calibri"/>
        </w:rPr>
        <w:t xml:space="preserve"> </w:t>
      </w:r>
      <w:r w:rsidR="00EF5ECC">
        <w:rPr>
          <w:rFonts w:ascii="Calibri" w:hAnsi="Calibri"/>
        </w:rPr>
        <w:t>on</w:t>
      </w:r>
      <w:r w:rsidRPr="00792C7A">
        <w:rPr>
          <w:rFonts w:ascii="Calibri" w:hAnsi="Calibri"/>
        </w:rPr>
        <w:t xml:space="preserve"> the model will be </w:t>
      </w:r>
      <w:r w:rsidR="00345C78">
        <w:rPr>
          <w:rFonts w:ascii="Calibri" w:hAnsi="Calibri"/>
        </w:rPr>
        <w:t xml:space="preserve">completed </w:t>
      </w:r>
      <w:r w:rsidRPr="00792C7A">
        <w:rPr>
          <w:rFonts w:ascii="Calibri" w:hAnsi="Calibri"/>
        </w:rPr>
        <w:t xml:space="preserve">around the summer of 2026. </w:t>
      </w:r>
      <w:r w:rsidR="00345C78">
        <w:rPr>
          <w:rFonts w:ascii="Calibri" w:hAnsi="Calibri"/>
        </w:rPr>
        <w:t xml:space="preserve">In addition </w:t>
      </w:r>
      <w:r w:rsidR="00CB133B" w:rsidRPr="00792C7A">
        <w:rPr>
          <w:rFonts w:ascii="Calibri" w:hAnsi="Calibri"/>
        </w:rPr>
        <w:t xml:space="preserve">to </w:t>
      </w:r>
      <w:r w:rsidR="00D836F5">
        <w:rPr>
          <w:rFonts w:ascii="Calibri" w:hAnsi="Calibri"/>
          <w:strike/>
        </w:rPr>
        <w:t>m</w:t>
      </w:r>
      <w:r w:rsidR="00CB133B" w:rsidRPr="00792C7A">
        <w:rPr>
          <w:rFonts w:ascii="Calibri" w:hAnsi="Calibri"/>
        </w:rPr>
        <w:t>odel</w:t>
      </w:r>
      <w:r w:rsidR="00345C78">
        <w:rPr>
          <w:rFonts w:ascii="Calibri" w:hAnsi="Calibri"/>
        </w:rPr>
        <w:t xml:space="preserve"> documentation</w:t>
      </w:r>
      <w:r w:rsidR="00CB133B" w:rsidRPr="00792C7A">
        <w:rPr>
          <w:rFonts w:ascii="Calibri" w:hAnsi="Calibri"/>
        </w:rPr>
        <w:t xml:space="preserve">, that will be freely available, </w:t>
      </w:r>
      <w:r w:rsidR="00CB133B" w:rsidRPr="00D836F5">
        <w:rPr>
          <w:rFonts w:ascii="Calibri" w:hAnsi="Calibri"/>
          <w:strike/>
        </w:rPr>
        <w:t>also</w:t>
      </w:r>
      <w:r w:rsidR="00CB133B" w:rsidRPr="00792C7A">
        <w:rPr>
          <w:rFonts w:ascii="Calibri" w:hAnsi="Calibri"/>
        </w:rPr>
        <w:t xml:space="preserve"> the </w:t>
      </w:r>
      <w:r w:rsidR="00942F46">
        <w:rPr>
          <w:rFonts w:ascii="Calibri" w:hAnsi="Calibri"/>
        </w:rPr>
        <w:t>core of the model will be released as open-source software.</w:t>
      </w:r>
      <w:r w:rsidR="006E3E09" w:rsidRPr="00792C7A">
        <w:rPr>
          <w:rFonts w:ascii="Calibri" w:hAnsi="Calibri"/>
        </w:rPr>
        <w:t xml:space="preserve"> The details </w:t>
      </w:r>
      <w:r w:rsidR="00942F46">
        <w:rPr>
          <w:rFonts w:ascii="Calibri" w:hAnsi="Calibri"/>
        </w:rPr>
        <w:t>concerning publication, governance and maintenance</w:t>
      </w:r>
      <w:r w:rsidR="005D019D">
        <w:rPr>
          <w:rFonts w:ascii="Calibri" w:hAnsi="Calibri"/>
        </w:rPr>
        <w:t>,</w:t>
      </w:r>
      <w:r w:rsidR="006E3E09" w:rsidRPr="00792C7A">
        <w:rPr>
          <w:rFonts w:ascii="Calibri" w:hAnsi="Calibri"/>
        </w:rPr>
        <w:t xml:space="preserve"> still needs to be finalized. </w:t>
      </w:r>
      <w:r w:rsidR="00C03813" w:rsidRPr="00792C7A">
        <w:rPr>
          <w:rFonts w:ascii="Calibri" w:hAnsi="Calibri"/>
        </w:rPr>
        <w:t xml:space="preserve">The code will be made </w:t>
      </w:r>
      <w:r w:rsidR="00763C60" w:rsidRPr="00792C7A">
        <w:rPr>
          <w:rFonts w:ascii="Calibri" w:hAnsi="Calibri"/>
        </w:rPr>
        <w:t>available</w:t>
      </w:r>
      <w:r w:rsidR="00C03813" w:rsidRPr="00792C7A">
        <w:rPr>
          <w:rFonts w:ascii="Calibri" w:hAnsi="Calibri"/>
        </w:rPr>
        <w:t xml:space="preserve"> under a </w:t>
      </w:r>
      <w:r w:rsidR="00763C60" w:rsidRPr="00792C7A">
        <w:rPr>
          <w:rFonts w:ascii="Calibri" w:hAnsi="Calibri"/>
        </w:rPr>
        <w:t xml:space="preserve">European </w:t>
      </w:r>
      <w:r w:rsidR="00942F46">
        <w:rPr>
          <w:rFonts w:ascii="Calibri" w:hAnsi="Calibri"/>
        </w:rPr>
        <w:t xml:space="preserve">Union Public </w:t>
      </w:r>
      <w:proofErr w:type="gramStart"/>
      <w:r w:rsidR="00942F46">
        <w:rPr>
          <w:rFonts w:ascii="Calibri" w:hAnsi="Calibri"/>
        </w:rPr>
        <w:t xml:space="preserve">Licence </w:t>
      </w:r>
      <w:r w:rsidR="00763C60" w:rsidRPr="00792C7A">
        <w:rPr>
          <w:rFonts w:ascii="Calibri" w:hAnsi="Calibri"/>
        </w:rPr>
        <w:t xml:space="preserve"> </w:t>
      </w:r>
      <w:r w:rsidR="00942F46">
        <w:rPr>
          <w:rFonts w:ascii="Calibri" w:hAnsi="Calibri"/>
        </w:rPr>
        <w:t>(</w:t>
      </w:r>
      <w:proofErr w:type="gramEnd"/>
      <w:r w:rsidR="00763C60" w:rsidRPr="00792C7A">
        <w:rPr>
          <w:rFonts w:ascii="Calibri" w:hAnsi="Calibri"/>
        </w:rPr>
        <w:t>EUPL</w:t>
      </w:r>
      <w:r w:rsidR="00942F46">
        <w:rPr>
          <w:rFonts w:ascii="Calibri" w:hAnsi="Calibri"/>
        </w:rPr>
        <w:t>) version</w:t>
      </w:r>
      <w:r w:rsidR="00763C60" w:rsidRPr="00792C7A">
        <w:rPr>
          <w:rFonts w:ascii="Calibri" w:hAnsi="Calibri"/>
        </w:rPr>
        <w:t xml:space="preserve"> 1.2</w:t>
      </w:r>
      <w:r w:rsidR="00F91E9E">
        <w:rPr>
          <w:rFonts w:ascii="Calibri" w:hAnsi="Calibri"/>
        </w:rPr>
        <w:t xml:space="preserve">. </w:t>
      </w:r>
      <w:r w:rsidR="006E3E09" w:rsidRPr="00792C7A">
        <w:rPr>
          <w:rFonts w:ascii="Calibri" w:hAnsi="Calibri"/>
        </w:rPr>
        <w:t xml:space="preserve">The </w:t>
      </w:r>
      <w:r w:rsidR="00F91E9E">
        <w:rPr>
          <w:rFonts w:ascii="Calibri" w:hAnsi="Calibri"/>
        </w:rPr>
        <w:t xml:space="preserve">motivation </w:t>
      </w:r>
      <w:proofErr w:type="gramStart"/>
      <w:r w:rsidR="00F91E9E">
        <w:rPr>
          <w:rFonts w:ascii="Calibri" w:hAnsi="Calibri"/>
        </w:rPr>
        <w:t xml:space="preserve">to </w:t>
      </w:r>
      <w:r w:rsidR="00942F46">
        <w:rPr>
          <w:rFonts w:ascii="Calibri" w:hAnsi="Calibri"/>
        </w:rPr>
        <w:t xml:space="preserve"> for</w:t>
      </w:r>
      <w:proofErr w:type="gramEnd"/>
      <w:r w:rsidR="00942F46">
        <w:rPr>
          <w:rFonts w:ascii="Calibri" w:hAnsi="Calibri"/>
        </w:rPr>
        <w:t xml:space="preserve"> this approach</w:t>
      </w:r>
      <w:r w:rsidR="006E3E09" w:rsidRPr="00792C7A">
        <w:rPr>
          <w:rFonts w:ascii="Calibri" w:hAnsi="Calibri"/>
        </w:rPr>
        <w:t xml:space="preserve"> is</w:t>
      </w:r>
      <w:r w:rsidR="00CC1D39" w:rsidRPr="00792C7A">
        <w:rPr>
          <w:rFonts w:ascii="Calibri" w:hAnsi="Calibri"/>
        </w:rPr>
        <w:t xml:space="preserve"> that </w:t>
      </w:r>
      <w:r w:rsidR="00BD15B9">
        <w:rPr>
          <w:rFonts w:ascii="Calibri" w:hAnsi="Calibri"/>
        </w:rPr>
        <w:t>open publication of the core code can support transparency, facilitate external review and enable broader contribution to future model development.</w:t>
      </w:r>
      <w:r w:rsidR="005D019D">
        <w:rPr>
          <w:rFonts w:ascii="Calibri" w:hAnsi="Calibri"/>
        </w:rPr>
        <w:t xml:space="preserve"> </w:t>
      </w:r>
    </w:p>
    <w:p w14:paraId="367DD9D8" w14:textId="2E884601" w:rsidR="00942F46" w:rsidRDefault="00BD15B9" w:rsidP="009230A6">
      <w:pPr>
        <w:pStyle w:val="BodyText"/>
        <w:rPr>
          <w:rFonts w:ascii="Calibri" w:hAnsi="Calibri"/>
        </w:rPr>
      </w:pPr>
      <w:r>
        <w:rPr>
          <w:rFonts w:ascii="Calibri" w:hAnsi="Calibri"/>
        </w:rPr>
        <w:t>This approach also offers mutual benefits for both IALA and SAMSON. For IALA, it could provide access to an additional risk assessment approach and support wider exchange of knowledge on model assumptions and applications. For SAMSON, engagement through IALA could increase international visibility, encourage expert feedback and external review, and support further development through broader practical use.</w:t>
      </w:r>
    </w:p>
    <w:p w14:paraId="78BF9BA6" w14:textId="36726486" w:rsidR="00AF1B1E" w:rsidRPr="00792C7A" w:rsidRDefault="00BD15B9" w:rsidP="009230A6">
      <w:pPr>
        <w:pStyle w:val="BodyText"/>
        <w:rPr>
          <w:rFonts w:ascii="Calibri" w:hAnsi="Calibri"/>
        </w:rPr>
      </w:pPr>
      <w:r>
        <w:rPr>
          <w:rFonts w:ascii="Calibri" w:hAnsi="Calibri"/>
        </w:rPr>
        <w:t xml:space="preserve">Alongside </w:t>
      </w:r>
      <w:r w:rsidR="00C03813" w:rsidRPr="00792C7A">
        <w:rPr>
          <w:rFonts w:ascii="Calibri" w:hAnsi="Calibri"/>
        </w:rPr>
        <w:t>the open</w:t>
      </w:r>
      <w:r>
        <w:rPr>
          <w:rFonts w:ascii="Calibri" w:hAnsi="Calibri"/>
        </w:rPr>
        <w:t>-</w:t>
      </w:r>
      <w:r w:rsidR="00C03813" w:rsidRPr="00792C7A">
        <w:rPr>
          <w:rFonts w:ascii="Calibri" w:hAnsi="Calibri"/>
        </w:rPr>
        <w:t>source code</w:t>
      </w:r>
      <w:r>
        <w:rPr>
          <w:rFonts w:ascii="Calibri" w:hAnsi="Calibri"/>
        </w:rPr>
        <w:t>,</w:t>
      </w:r>
      <w:r w:rsidR="00C03813" w:rsidRPr="00792C7A">
        <w:rPr>
          <w:rFonts w:ascii="Calibri" w:hAnsi="Calibri"/>
        </w:rPr>
        <w:t xml:space="preserve"> compiled version of the program</w:t>
      </w:r>
      <w:r w:rsidR="005B4E0F" w:rsidRPr="00792C7A">
        <w:rPr>
          <w:rFonts w:ascii="Calibri" w:hAnsi="Calibri"/>
        </w:rPr>
        <w:t xml:space="preserve">, including documentation and training </w:t>
      </w:r>
      <w:r w:rsidR="00C03813" w:rsidRPr="00792C7A">
        <w:rPr>
          <w:rFonts w:ascii="Calibri" w:hAnsi="Calibri"/>
        </w:rPr>
        <w:t>will be made available under</w:t>
      </w:r>
      <w:r w:rsidR="005B4E0F" w:rsidRPr="00792C7A">
        <w:rPr>
          <w:rFonts w:ascii="Calibri" w:hAnsi="Calibri"/>
        </w:rPr>
        <w:t xml:space="preserve"> </w:t>
      </w:r>
      <w:r w:rsidR="009230A6" w:rsidRPr="00792C7A">
        <w:rPr>
          <w:rFonts w:ascii="Calibri" w:hAnsi="Calibri"/>
        </w:rPr>
        <w:t>a paid license with a yearly fee.</w:t>
      </w:r>
    </w:p>
    <w:p w14:paraId="67DCBCC8" w14:textId="7AB7478A" w:rsidR="00AF1B1E" w:rsidRDefault="00AF1B1E" w:rsidP="00410471">
      <w:pPr>
        <w:pStyle w:val="Heading2"/>
        <w:rPr>
          <w:lang w:val="en-US"/>
        </w:rPr>
      </w:pPr>
      <w:r>
        <w:rPr>
          <w:lang w:val="en-US"/>
        </w:rPr>
        <w:t>Coo</w:t>
      </w:r>
      <w:r w:rsidR="00410471">
        <w:rPr>
          <w:lang w:val="en-US"/>
        </w:rPr>
        <w:t>peration with IWRAP</w:t>
      </w:r>
    </w:p>
    <w:p w14:paraId="1EF55EBC" w14:textId="6ECEF879" w:rsidR="00AF1B1E" w:rsidRDefault="00410471" w:rsidP="000C3E76">
      <w:pPr>
        <w:pStyle w:val="BodyText"/>
        <w:rPr>
          <w:lang w:val="en-US"/>
        </w:rPr>
      </w:pPr>
      <w:r>
        <w:rPr>
          <w:lang w:val="en-US"/>
        </w:rPr>
        <w:t>In 2016</w:t>
      </w:r>
      <w:r w:rsidR="00CF0655">
        <w:rPr>
          <w:lang w:val="en-US"/>
        </w:rPr>
        <w:t>,</w:t>
      </w:r>
      <w:r>
        <w:rPr>
          <w:lang w:val="en-US"/>
        </w:rPr>
        <w:t xml:space="preserve"> a study </w:t>
      </w:r>
      <w:r w:rsidR="00CF0655">
        <w:rPr>
          <w:lang w:val="en-US"/>
        </w:rPr>
        <w:t xml:space="preserve">was carried </w:t>
      </w:r>
      <w:proofErr w:type="gramStart"/>
      <w:r w:rsidR="00CF0655">
        <w:rPr>
          <w:lang w:val="en-US"/>
        </w:rPr>
        <w:t xml:space="preserve">out </w:t>
      </w:r>
      <w:r>
        <w:rPr>
          <w:lang w:val="en-US"/>
        </w:rPr>
        <w:t xml:space="preserve"> to</w:t>
      </w:r>
      <w:proofErr w:type="gramEnd"/>
      <w:r>
        <w:rPr>
          <w:lang w:val="en-US"/>
        </w:rPr>
        <w:t xml:space="preserve"> </w:t>
      </w:r>
      <w:r w:rsidR="00BF1968">
        <w:rPr>
          <w:lang w:val="en-US"/>
        </w:rPr>
        <w:t xml:space="preserve">for IALA to </w:t>
      </w:r>
      <w:proofErr w:type="gramStart"/>
      <w:r>
        <w:rPr>
          <w:lang w:val="en-US"/>
        </w:rPr>
        <w:t>compare  IWRAP</w:t>
      </w:r>
      <w:proofErr w:type="gramEnd"/>
      <w:r>
        <w:rPr>
          <w:lang w:val="en-US"/>
        </w:rPr>
        <w:t xml:space="preserve"> and SAMSON. Since then</w:t>
      </w:r>
      <w:r w:rsidR="00CF0655">
        <w:rPr>
          <w:lang w:val="en-US"/>
        </w:rPr>
        <w:t>,</w:t>
      </w:r>
      <w:r>
        <w:rPr>
          <w:lang w:val="en-US"/>
        </w:rPr>
        <w:t xml:space="preserve"> both models </w:t>
      </w:r>
      <w:proofErr w:type="gramStart"/>
      <w:r>
        <w:rPr>
          <w:lang w:val="en-US"/>
        </w:rPr>
        <w:t>have</w:t>
      </w:r>
      <w:r w:rsidR="00DF3164">
        <w:rPr>
          <w:lang w:val="en-US"/>
        </w:rPr>
        <w:t xml:space="preserve">  </w:t>
      </w:r>
      <w:r w:rsidR="00CF0655">
        <w:rPr>
          <w:lang w:val="en-US"/>
        </w:rPr>
        <w:t>undergone</w:t>
      </w:r>
      <w:proofErr w:type="gramEnd"/>
      <w:r w:rsidR="00CF0655">
        <w:rPr>
          <w:lang w:val="en-US"/>
        </w:rPr>
        <w:t xml:space="preserve"> further </w:t>
      </w:r>
      <w:proofErr w:type="gramStart"/>
      <w:r w:rsidR="00DF3164">
        <w:rPr>
          <w:lang w:val="en-US"/>
        </w:rPr>
        <w:t>develop</w:t>
      </w:r>
      <w:r w:rsidR="00CF0655">
        <w:rPr>
          <w:lang w:val="en-US"/>
        </w:rPr>
        <w:t xml:space="preserve">ment </w:t>
      </w:r>
      <w:r w:rsidR="00DF3164">
        <w:rPr>
          <w:lang w:val="en-US"/>
        </w:rPr>
        <w:t>.</w:t>
      </w:r>
      <w:proofErr w:type="gramEnd"/>
      <w:r w:rsidR="00DF3164">
        <w:rPr>
          <w:lang w:val="en-US"/>
        </w:rPr>
        <w:t xml:space="preserve"> </w:t>
      </w:r>
      <w:r w:rsidR="00844C1A">
        <w:rPr>
          <w:lang w:val="en-US"/>
        </w:rPr>
        <w:t>In</w:t>
      </w:r>
      <w:r w:rsidR="00792C7A">
        <w:rPr>
          <w:lang w:val="en-US"/>
        </w:rPr>
        <w:t xml:space="preserve"> 202</w:t>
      </w:r>
      <w:r w:rsidR="00782685">
        <w:rPr>
          <w:lang w:val="en-US"/>
        </w:rPr>
        <w:t>3 and 2024</w:t>
      </w:r>
      <w:r w:rsidR="00CF0655">
        <w:rPr>
          <w:lang w:val="en-US"/>
        </w:rPr>
        <w:t>,</w:t>
      </w:r>
      <w:r w:rsidR="00782685">
        <w:rPr>
          <w:lang w:val="en-US"/>
        </w:rPr>
        <w:t xml:space="preserve"> an extensive </w:t>
      </w:r>
      <w:r w:rsidR="00CF0655">
        <w:rPr>
          <w:lang w:val="en-US"/>
        </w:rPr>
        <w:t>Formal Safety Assessment</w:t>
      </w:r>
      <w:r w:rsidR="00782685">
        <w:rPr>
          <w:lang w:val="en-US"/>
        </w:rPr>
        <w:t xml:space="preserve"> </w:t>
      </w:r>
      <w:r w:rsidR="00CF0655">
        <w:rPr>
          <w:lang w:val="en-US"/>
        </w:rPr>
        <w:t>(</w:t>
      </w:r>
      <w:r w:rsidR="00782685">
        <w:rPr>
          <w:lang w:val="en-US"/>
        </w:rPr>
        <w:t>FSA</w:t>
      </w:r>
      <w:r w:rsidR="00CF0655">
        <w:rPr>
          <w:lang w:val="en-US"/>
        </w:rPr>
        <w:t>)</w:t>
      </w:r>
      <w:r w:rsidR="00782685">
        <w:rPr>
          <w:lang w:val="en-US"/>
        </w:rPr>
        <w:t xml:space="preserve"> study </w:t>
      </w:r>
      <w:r w:rsidR="00CF0655">
        <w:rPr>
          <w:lang w:val="en-US"/>
        </w:rPr>
        <w:t xml:space="preserve">was </w:t>
      </w:r>
      <w:r w:rsidR="00782685">
        <w:rPr>
          <w:lang w:val="en-US"/>
        </w:rPr>
        <w:t xml:space="preserve">performed </w:t>
      </w:r>
      <w:r w:rsidR="003F4BF5">
        <w:rPr>
          <w:lang w:val="en-US"/>
        </w:rPr>
        <w:t xml:space="preserve">for a </w:t>
      </w:r>
      <w:r w:rsidR="00CF0655">
        <w:rPr>
          <w:lang w:val="en-US"/>
        </w:rPr>
        <w:t>major</w:t>
      </w:r>
      <w:r w:rsidR="003F4BF5">
        <w:rPr>
          <w:lang w:val="en-US"/>
        </w:rPr>
        <w:t xml:space="preserve"> international traffic route on the North Sea. </w:t>
      </w:r>
      <w:r w:rsidR="00CF0655">
        <w:rPr>
          <w:lang w:val="en-US"/>
        </w:rPr>
        <w:t>As a part of that assessment,</w:t>
      </w:r>
      <w:r w:rsidR="002A2686">
        <w:rPr>
          <w:lang w:val="en-US"/>
        </w:rPr>
        <w:t xml:space="preserve"> the impact of offshore wind </w:t>
      </w:r>
      <w:r w:rsidR="00CF0655">
        <w:rPr>
          <w:lang w:val="en-US"/>
        </w:rPr>
        <w:t xml:space="preserve">development was </w:t>
      </w:r>
      <w:r w:rsidR="002C5FA2">
        <w:rPr>
          <w:lang w:val="en-US"/>
        </w:rPr>
        <w:t>investigated</w:t>
      </w:r>
      <w:r w:rsidR="002A2686">
        <w:rPr>
          <w:lang w:val="en-US"/>
        </w:rPr>
        <w:t xml:space="preserve">, </w:t>
      </w:r>
      <w:r w:rsidR="00CF0655">
        <w:rPr>
          <w:lang w:val="en-US"/>
        </w:rPr>
        <w:t xml:space="preserve">including </w:t>
      </w:r>
      <w:r w:rsidR="002A2686">
        <w:rPr>
          <w:lang w:val="en-US"/>
        </w:rPr>
        <w:t xml:space="preserve">a quantitative </w:t>
      </w:r>
      <w:r w:rsidR="00CF0655">
        <w:rPr>
          <w:lang w:val="en-US"/>
        </w:rPr>
        <w:t xml:space="preserve">risk </w:t>
      </w:r>
      <w:r w:rsidR="002632FE">
        <w:rPr>
          <w:lang w:val="en-US"/>
        </w:rPr>
        <w:t>analys</w:t>
      </w:r>
      <w:r w:rsidR="00CF0655">
        <w:rPr>
          <w:lang w:val="en-US"/>
        </w:rPr>
        <w:t>i</w:t>
      </w:r>
      <w:r w:rsidR="002632FE">
        <w:rPr>
          <w:lang w:val="en-US"/>
        </w:rPr>
        <w:t xml:space="preserve">s using </w:t>
      </w:r>
      <w:r w:rsidR="00CF0655">
        <w:rPr>
          <w:lang w:val="en-US"/>
        </w:rPr>
        <w:t xml:space="preserve">both </w:t>
      </w:r>
      <w:r w:rsidR="002632FE">
        <w:rPr>
          <w:lang w:val="en-US"/>
        </w:rPr>
        <w:t xml:space="preserve">IWRAP and SAMSON. IWRAP was used by ABL </w:t>
      </w:r>
      <w:r w:rsidR="00F075E9">
        <w:rPr>
          <w:lang w:val="en-US"/>
        </w:rPr>
        <w:t xml:space="preserve">on </w:t>
      </w:r>
      <w:proofErr w:type="gramStart"/>
      <w:r w:rsidR="00F075E9">
        <w:rPr>
          <w:lang w:val="en-US"/>
        </w:rPr>
        <w:t>beha</w:t>
      </w:r>
      <w:r w:rsidR="00CF0655">
        <w:rPr>
          <w:lang w:val="en-US"/>
        </w:rPr>
        <w:t xml:space="preserve">lf </w:t>
      </w:r>
      <w:r w:rsidR="00F075E9">
        <w:rPr>
          <w:lang w:val="en-US"/>
        </w:rPr>
        <w:t xml:space="preserve"> of</w:t>
      </w:r>
      <w:proofErr w:type="gramEnd"/>
      <w:r w:rsidR="00F075E9">
        <w:rPr>
          <w:lang w:val="en-US"/>
        </w:rPr>
        <w:t xml:space="preserve"> the German authorities and MA</w:t>
      </w:r>
      <w:r w:rsidR="00CF0655">
        <w:rPr>
          <w:lang w:val="en-US"/>
        </w:rPr>
        <w:t>R</w:t>
      </w:r>
      <w:r w:rsidR="00F075E9">
        <w:rPr>
          <w:lang w:val="en-US"/>
        </w:rPr>
        <w:t>IN used SAMSON</w:t>
      </w:r>
      <w:r w:rsidR="00C967CB">
        <w:rPr>
          <w:lang w:val="en-US"/>
        </w:rPr>
        <w:t xml:space="preserve"> at </w:t>
      </w:r>
      <w:r w:rsidR="00CF0655">
        <w:rPr>
          <w:lang w:val="en-US"/>
        </w:rPr>
        <w:t xml:space="preserve">the </w:t>
      </w:r>
      <w:r w:rsidR="00C967CB">
        <w:rPr>
          <w:lang w:val="en-US"/>
        </w:rPr>
        <w:t xml:space="preserve">request of the Dutch authorities. </w:t>
      </w:r>
      <w:r w:rsidR="00305623">
        <w:rPr>
          <w:lang w:val="en-US"/>
        </w:rPr>
        <w:t xml:space="preserve">Both consultants used the same input data. </w:t>
      </w:r>
      <w:r w:rsidR="002C5FA2">
        <w:rPr>
          <w:lang w:val="en-US"/>
        </w:rPr>
        <w:t>The main conclusion was that the absolute values of the expected accident frequencies differed, ho</w:t>
      </w:r>
      <w:r w:rsidR="002F7449">
        <w:rPr>
          <w:lang w:val="en-US"/>
        </w:rPr>
        <w:t>w</w:t>
      </w:r>
      <w:r w:rsidR="002C5FA2">
        <w:rPr>
          <w:lang w:val="en-US"/>
        </w:rPr>
        <w:t>ever the conclusion</w:t>
      </w:r>
      <w:r w:rsidR="00F044A0">
        <w:rPr>
          <w:lang w:val="en-US"/>
        </w:rPr>
        <w:t>s</w:t>
      </w:r>
      <w:r w:rsidR="002C5FA2">
        <w:rPr>
          <w:lang w:val="en-US"/>
        </w:rPr>
        <w:t xml:space="preserve"> that were drawn concerning the impact of different geographical choices for the wind farm were comparable.</w:t>
      </w:r>
    </w:p>
    <w:p w14:paraId="7ECB9800" w14:textId="77777777" w:rsidR="007531AE" w:rsidRDefault="006C2D3E" w:rsidP="007531AE">
      <w:pPr>
        <w:pStyle w:val="BodyText"/>
        <w:rPr>
          <w:lang w:val="en-US"/>
        </w:rPr>
      </w:pPr>
      <w:r>
        <w:rPr>
          <w:lang w:val="en-US"/>
        </w:rPr>
        <w:t xml:space="preserve">These differences call for a better understanding of the different model choices and the consequences of these assumptions. </w:t>
      </w:r>
      <w:r w:rsidR="007531AE">
        <w:rPr>
          <w:lang w:val="en-US"/>
        </w:rPr>
        <w:t>This can also help to better understand the strength of both models and how and where they can be complementary.</w:t>
      </w:r>
    </w:p>
    <w:p w14:paraId="51488FE8" w14:textId="77777777" w:rsidR="00B835B3" w:rsidRDefault="00B835B3" w:rsidP="007531AE">
      <w:pPr>
        <w:pStyle w:val="BodyText"/>
        <w:rPr>
          <w:lang w:val="en-US"/>
        </w:rPr>
      </w:pPr>
    </w:p>
    <w:p w14:paraId="7A230CA0" w14:textId="639333B4" w:rsidR="00360613" w:rsidRDefault="00305623" w:rsidP="00B835B3">
      <w:pPr>
        <w:pStyle w:val="BodyText"/>
        <w:jc w:val="center"/>
      </w:pPr>
      <w:r w:rsidRPr="00305623">
        <w:rPr>
          <w:noProof/>
        </w:rPr>
        <w:drawing>
          <wp:inline distT="0" distB="0" distL="0" distR="0" wp14:anchorId="6013A367" wp14:editId="604FD7DD">
            <wp:extent cx="4680000" cy="2713065"/>
            <wp:effectExtent l="0" t="0" r="6350" b="0"/>
            <wp:docPr id="6" name="Picture 5">
              <a:extLst xmlns:a="http://schemas.openxmlformats.org/drawingml/2006/main">
                <a:ext uri="{FF2B5EF4-FFF2-40B4-BE49-F238E27FC236}">
                  <a16:creationId xmlns:a16="http://schemas.microsoft.com/office/drawing/2014/main" id="{CF03A09D-D875-73DD-588D-83592D2CC4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F03A09D-D875-73DD-588D-83592D2CC46B}"/>
                        </a:ext>
                      </a:extLst>
                    </pic:cNvPr>
                    <pic:cNvPicPr>
                      <a:picLocks noChangeAspect="1"/>
                    </pic:cNvPicPr>
                  </pic:nvPicPr>
                  <pic:blipFill rotWithShape="1">
                    <a:blip r:embed="rId12"/>
                    <a:srcRect l="31204" t="26296" r="13302" b="20455"/>
                    <a:stretch>
                      <a:fillRect/>
                    </a:stretch>
                  </pic:blipFill>
                  <pic:spPr bwMode="auto">
                    <a:xfrm>
                      <a:off x="0" y="0"/>
                      <a:ext cx="4680000" cy="2713065"/>
                    </a:xfrm>
                    <a:prstGeom prst="rect">
                      <a:avLst/>
                    </a:prstGeom>
                    <a:ln>
                      <a:noFill/>
                    </a:ln>
                    <a:extLst>
                      <a:ext uri="{53640926-AAD7-44D8-BBD7-CCE9431645EC}">
                        <a14:shadowObscured xmlns:a14="http://schemas.microsoft.com/office/drawing/2010/main"/>
                      </a:ext>
                    </a:extLst>
                  </pic:spPr>
                </pic:pic>
              </a:graphicData>
            </a:graphic>
          </wp:inline>
        </w:drawing>
      </w:r>
    </w:p>
    <w:p w14:paraId="67AF003C" w14:textId="19C7A709" w:rsidR="00844C1A" w:rsidRDefault="00360613" w:rsidP="00360613">
      <w:pPr>
        <w:pStyle w:val="Figurecaption"/>
        <w:suppressAutoHyphens/>
      </w:pPr>
      <w:r>
        <w:t>Results of the quantitative risk assessment using SAMSON and IWRAP</w:t>
      </w:r>
    </w:p>
    <w:p w14:paraId="6D333046" w14:textId="77777777" w:rsidR="00360613" w:rsidRDefault="00360613" w:rsidP="00360613">
      <w:pPr>
        <w:pStyle w:val="BodyText"/>
      </w:pPr>
    </w:p>
    <w:p w14:paraId="7A8D2F27" w14:textId="77777777" w:rsidR="00A446C9" w:rsidRPr="007A395D" w:rsidRDefault="00A446C9" w:rsidP="00605E43">
      <w:pPr>
        <w:pStyle w:val="Heading1"/>
      </w:pPr>
      <w:r w:rsidRPr="007A395D">
        <w:lastRenderedPageBreak/>
        <w:t>Action requested of the Committee</w:t>
      </w:r>
    </w:p>
    <w:p w14:paraId="6FE1C36B" w14:textId="77777777" w:rsidR="00D70913" w:rsidRPr="00D70913" w:rsidRDefault="00D70913" w:rsidP="00D70913">
      <w:pPr>
        <w:pStyle w:val="BodyText"/>
        <w:rPr>
          <w:rFonts w:ascii="Calibri" w:hAnsi="Calibri"/>
        </w:rPr>
      </w:pPr>
      <w:r w:rsidRPr="00D70913">
        <w:rPr>
          <w:rFonts w:ascii="Calibri" w:hAnsi="Calibri"/>
        </w:rPr>
        <w:t>The Committee is requested to:</w:t>
      </w:r>
    </w:p>
    <w:p w14:paraId="4312D7FB" w14:textId="77777777" w:rsidR="00D70913" w:rsidRPr="00D70913" w:rsidRDefault="00D70913" w:rsidP="00D70913">
      <w:pPr>
        <w:pStyle w:val="BodyText"/>
        <w:numPr>
          <w:ilvl w:val="0"/>
          <w:numId w:val="75"/>
        </w:numPr>
        <w:rPr>
          <w:rFonts w:ascii="Calibri" w:hAnsi="Calibri"/>
        </w:rPr>
      </w:pPr>
      <w:r w:rsidRPr="00D70913">
        <w:rPr>
          <w:rFonts w:ascii="Calibri" w:hAnsi="Calibri"/>
        </w:rPr>
        <w:t>Take note of the information provided regarding the development and modernisation of the SAMSON model.</w:t>
      </w:r>
    </w:p>
    <w:p w14:paraId="44F4989E" w14:textId="77777777" w:rsidR="00D70913" w:rsidRDefault="00D70913" w:rsidP="00D70913">
      <w:pPr>
        <w:pStyle w:val="BodyText"/>
        <w:numPr>
          <w:ilvl w:val="0"/>
          <w:numId w:val="75"/>
        </w:numPr>
        <w:rPr>
          <w:rFonts w:ascii="Calibri" w:hAnsi="Calibri"/>
        </w:rPr>
      </w:pPr>
      <w:r w:rsidRPr="00D70913">
        <w:rPr>
          <w:rFonts w:ascii="Calibri" w:hAnsi="Calibri"/>
        </w:rPr>
        <w:t>Take note of the information provided regarding making the computational core of the SAMSON model available as open source.</w:t>
      </w:r>
    </w:p>
    <w:p w14:paraId="763BA373" w14:textId="0739C317" w:rsidR="00853B4E" w:rsidRDefault="00853B4E" w:rsidP="000E289E">
      <w:pPr>
        <w:pStyle w:val="BodyText"/>
        <w:numPr>
          <w:ilvl w:val="0"/>
          <w:numId w:val="75"/>
        </w:numPr>
        <w:rPr>
          <w:rFonts w:ascii="Calibri" w:hAnsi="Calibri"/>
        </w:rPr>
      </w:pPr>
      <w:r w:rsidRPr="00CD5D87">
        <w:rPr>
          <w:rFonts w:ascii="Calibri" w:hAnsi="Calibri"/>
        </w:rPr>
        <w:t xml:space="preserve">Consider the inclusion of the new </w:t>
      </w:r>
      <w:proofErr w:type="gramStart"/>
      <w:r w:rsidRPr="00CD5D87">
        <w:rPr>
          <w:rFonts w:ascii="Calibri" w:hAnsi="Calibri"/>
        </w:rPr>
        <w:t>open source</w:t>
      </w:r>
      <w:proofErr w:type="gramEnd"/>
      <w:r w:rsidRPr="00CD5D87">
        <w:rPr>
          <w:rFonts w:ascii="Calibri" w:hAnsi="Calibri"/>
        </w:rPr>
        <w:t xml:space="preserve"> SAMSON in the IALA Risk Management Toolbox</w:t>
      </w:r>
      <w:r w:rsidR="00E82FDA">
        <w:rPr>
          <w:rFonts w:ascii="Calibri" w:hAnsi="Calibri"/>
        </w:rPr>
        <w:t>.</w:t>
      </w:r>
    </w:p>
    <w:p w14:paraId="3857F40F" w14:textId="77777777" w:rsidR="000E289E" w:rsidRPr="00D70913" w:rsidRDefault="000E289E" w:rsidP="000E289E">
      <w:pPr>
        <w:pStyle w:val="BodyText"/>
        <w:numPr>
          <w:ilvl w:val="0"/>
          <w:numId w:val="75"/>
        </w:numPr>
        <w:rPr>
          <w:rFonts w:ascii="Calibri" w:hAnsi="Calibri"/>
        </w:rPr>
      </w:pPr>
      <w:r>
        <w:rPr>
          <w:rFonts w:ascii="Calibri" w:hAnsi="Calibri"/>
        </w:rPr>
        <w:t xml:space="preserve">Consider advising on a comparison study IWRAP and SAMSON to investigate the strength of both models and how they can reinforce each other. </w:t>
      </w:r>
    </w:p>
    <w:p w14:paraId="22C3A337" w14:textId="77777777" w:rsidR="000E289E" w:rsidRPr="007835EB" w:rsidRDefault="000E289E" w:rsidP="000E289E">
      <w:pPr>
        <w:pStyle w:val="BodyText"/>
        <w:ind w:left="720"/>
        <w:rPr>
          <w:rFonts w:ascii="Calibri" w:hAnsi="Calibri"/>
        </w:rPr>
      </w:pPr>
    </w:p>
    <w:p w14:paraId="736152A4" w14:textId="77777777" w:rsidR="00D70913" w:rsidRPr="00D70913" w:rsidRDefault="00D70913" w:rsidP="00A446C9">
      <w:pPr>
        <w:pStyle w:val="BodyText"/>
        <w:rPr>
          <w:rFonts w:ascii="Calibri" w:hAnsi="Calibri"/>
        </w:rPr>
      </w:pPr>
    </w:p>
    <w:p w14:paraId="10DC5D6B" w14:textId="77777777" w:rsidR="004D1D85" w:rsidRPr="007A395D" w:rsidRDefault="004D1D85" w:rsidP="00605E43">
      <w:pPr>
        <w:pStyle w:val="Annex"/>
        <w:sectPr w:rsidR="004D1D85" w:rsidRPr="007A395D" w:rsidSect="00C02DDD">
          <w:headerReference w:type="default" r:id="rId13"/>
          <w:footerReference w:type="default" r:id="rId14"/>
          <w:headerReference w:type="first" r:id="rId15"/>
          <w:footerReference w:type="first" r:id="rId16"/>
          <w:pgSz w:w="11906" w:h="16838"/>
          <w:pgMar w:top="1733" w:right="794" w:bottom="567" w:left="907" w:header="564" w:footer="611" w:gutter="0"/>
          <w:cols w:space="708"/>
          <w:titlePg/>
          <w:docGrid w:linePitch="360"/>
        </w:sectPr>
      </w:pPr>
    </w:p>
    <w:p w14:paraId="70F8912F" w14:textId="0E3D6E05" w:rsidR="000005D3" w:rsidRPr="007A395D" w:rsidRDefault="004C2640" w:rsidP="00605E43">
      <w:pPr>
        <w:pStyle w:val="Annex"/>
      </w:pPr>
      <w:bookmarkStart w:id="1" w:name="_Ref226533662"/>
      <w:r>
        <w:lastRenderedPageBreak/>
        <w:t>BACKGROUND SAMSON</w:t>
      </w:r>
      <w:bookmarkEnd w:id="1"/>
    </w:p>
    <w:p w14:paraId="7B3561B9" w14:textId="77777777" w:rsidR="00497BCB" w:rsidRPr="002067ED" w:rsidRDefault="00497BCB" w:rsidP="00497BCB">
      <w:pPr>
        <w:pStyle w:val="AnnexHead2"/>
      </w:pPr>
      <w:bookmarkStart w:id="2" w:name="_Toc158368561"/>
      <w:bookmarkStart w:id="3" w:name="_Toc175053682"/>
      <w:r w:rsidRPr="002067ED">
        <w:t>Introduction</w:t>
      </w:r>
      <w:bookmarkEnd w:id="2"/>
      <w:bookmarkEnd w:id="3"/>
    </w:p>
    <w:p w14:paraId="49F2F49C" w14:textId="77777777" w:rsidR="00497BCB" w:rsidRPr="00DD34D8" w:rsidRDefault="00497BCB" w:rsidP="00497BCB">
      <w:pPr>
        <w:pStyle w:val="BodyText"/>
        <w:suppressAutoHyphens/>
        <w:rPr>
          <w:lang w:val="en-US"/>
        </w:rPr>
      </w:pPr>
      <w:r w:rsidRPr="00DD34D8">
        <w:rPr>
          <w:lang w:val="en-US"/>
        </w:rPr>
        <w:t xml:space="preserve">Maritime traffic and its </w:t>
      </w:r>
      <w:proofErr w:type="spellStart"/>
      <w:r w:rsidRPr="00DD34D8">
        <w:rPr>
          <w:lang w:val="en-US"/>
        </w:rPr>
        <w:t>behaviour</w:t>
      </w:r>
      <w:proofErr w:type="spellEnd"/>
      <w:r w:rsidRPr="00DD34D8">
        <w:rPr>
          <w:lang w:val="en-US"/>
        </w:rPr>
        <w:t xml:space="preserve"> </w:t>
      </w:r>
      <w:proofErr w:type="gramStart"/>
      <w:r w:rsidRPr="00DD34D8">
        <w:rPr>
          <w:lang w:val="en-US"/>
        </w:rPr>
        <w:t>is</w:t>
      </w:r>
      <w:proofErr w:type="gramEnd"/>
      <w:r w:rsidRPr="00DD34D8">
        <w:rPr>
          <w:lang w:val="en-US"/>
        </w:rPr>
        <w:t xml:space="preserve"> essential for a successful nautical risk assessment. For many years, such knowledge has been built up and improved. The knowledge has been acquired within Dutch national projects for the Maritime Safety Agency (DGLM with former names DGTL, DGG and DGSM) and the North Sea Directorate (Dienst </w:t>
      </w:r>
      <w:proofErr w:type="spellStart"/>
      <w:r w:rsidRPr="00DD34D8">
        <w:rPr>
          <w:lang w:val="en-US"/>
        </w:rPr>
        <w:t>Noordzee</w:t>
      </w:r>
      <w:proofErr w:type="spellEnd"/>
      <w:r w:rsidRPr="00DD34D8">
        <w:rPr>
          <w:lang w:val="en-US"/>
        </w:rPr>
        <w:t xml:space="preserve">/Dienst Zee </w:t>
      </w:r>
      <w:proofErr w:type="spellStart"/>
      <w:r w:rsidRPr="00DD34D8">
        <w:rPr>
          <w:lang w:val="en-US"/>
        </w:rPr>
        <w:t>en</w:t>
      </w:r>
      <w:proofErr w:type="spellEnd"/>
      <w:r w:rsidRPr="00DD34D8">
        <w:rPr>
          <w:lang w:val="en-US"/>
        </w:rPr>
        <w:t xml:space="preserve"> Delta), both part of the Ministry of Infrastructure and Water Management, and within the European projects, COST 301, EURET, SAFESHIP, EMBARC, </w:t>
      </w:r>
      <w:proofErr w:type="spellStart"/>
      <w:r w:rsidRPr="00DD34D8">
        <w:rPr>
          <w:lang w:val="en-US"/>
        </w:rPr>
        <w:t>MarNIS</w:t>
      </w:r>
      <w:proofErr w:type="spellEnd"/>
      <w:r w:rsidRPr="00DD34D8">
        <w:rPr>
          <w:lang w:val="en-US"/>
        </w:rPr>
        <w:t xml:space="preserve">, BE-AWARE and </w:t>
      </w:r>
      <w:proofErr w:type="spellStart"/>
      <w:r w:rsidRPr="00DD34D8">
        <w:rPr>
          <w:lang w:val="en-US"/>
        </w:rPr>
        <w:t>OpenRisk</w:t>
      </w:r>
      <w:proofErr w:type="spellEnd"/>
      <w:r w:rsidRPr="00DD34D8">
        <w:rPr>
          <w:lang w:val="en-US"/>
        </w:rPr>
        <w:t xml:space="preserve">, for the European Commission. Based on this knowledge the </w:t>
      </w:r>
      <w:proofErr w:type="gramStart"/>
      <w:r w:rsidRPr="00DD34D8">
        <w:rPr>
          <w:lang w:val="en-US"/>
        </w:rPr>
        <w:t>SAMSON-model</w:t>
      </w:r>
      <w:proofErr w:type="gramEnd"/>
      <w:r w:rsidRPr="00DD34D8">
        <w:rPr>
          <w:lang w:val="en-US"/>
        </w:rPr>
        <w:t xml:space="preserve"> has been developed. The core of this model is a very detailed statistical traffic image surrounded by </w:t>
      </w:r>
      <w:proofErr w:type="gramStart"/>
      <w:r w:rsidRPr="00DD34D8">
        <w:rPr>
          <w:lang w:val="en-US"/>
        </w:rPr>
        <w:t>a number of</w:t>
      </w:r>
      <w:proofErr w:type="gramEnd"/>
      <w:r w:rsidRPr="00DD34D8">
        <w:rPr>
          <w:lang w:val="en-US"/>
        </w:rPr>
        <w:t xml:space="preserve"> accident models. The models predict the frequency of different </w:t>
      </w:r>
      <w:proofErr w:type="gramStart"/>
      <w:r w:rsidRPr="00DD34D8">
        <w:rPr>
          <w:lang w:val="en-US"/>
        </w:rPr>
        <w:t>accident types</w:t>
      </w:r>
      <w:proofErr w:type="gramEnd"/>
      <w:r w:rsidRPr="00DD34D8">
        <w:rPr>
          <w:lang w:val="en-US"/>
        </w:rPr>
        <w:t xml:space="preserve"> e.g. collisions, contacts, foundering, grounding, ramming and drifting against offshore platforms, wind farms etc. The models predict the frequency of occurrence combined with geographical position. This is essential for answering questions dealing with contingency planning.</w:t>
      </w:r>
    </w:p>
    <w:p w14:paraId="089EEF00" w14:textId="77777777" w:rsidR="00497BCB" w:rsidRPr="002067ED" w:rsidRDefault="00497BCB" w:rsidP="00497BCB">
      <w:pPr>
        <w:pStyle w:val="BodyText"/>
        <w:suppressAutoHyphens/>
      </w:pPr>
      <w:r w:rsidRPr="002067ED">
        <w:t xml:space="preserve"> </w:t>
      </w:r>
    </w:p>
    <w:p w14:paraId="54437CCF" w14:textId="77777777" w:rsidR="00497BCB" w:rsidRPr="002067ED" w:rsidRDefault="00497BCB" w:rsidP="004C2640">
      <w:pPr>
        <w:pStyle w:val="AnnexHead2"/>
      </w:pPr>
      <w:bookmarkStart w:id="4" w:name="_Toc77322574"/>
      <w:bookmarkStart w:id="5" w:name="_Toc158368562"/>
      <w:bookmarkStart w:id="6" w:name="_Toc175053683"/>
      <w:r w:rsidRPr="002067ED">
        <w:t>Model use in policy evaluation</w:t>
      </w:r>
      <w:bookmarkEnd w:id="4"/>
      <w:bookmarkEnd w:id="5"/>
      <w:bookmarkEnd w:id="6"/>
    </w:p>
    <w:p w14:paraId="3C17F8AD" w14:textId="77777777" w:rsidR="00497BCB" w:rsidRPr="002067ED" w:rsidRDefault="00497BCB" w:rsidP="00497BCB">
      <w:pPr>
        <w:pStyle w:val="BodyText"/>
        <w:suppressAutoHyphens/>
      </w:pPr>
      <w:r w:rsidRPr="002067ED">
        <w:t>SAMSON is used as a decision support system for the assessment of the effect of policy measures concerning:</w:t>
      </w:r>
    </w:p>
    <w:p w14:paraId="7EABD8C4" w14:textId="77777777" w:rsidR="00497BCB" w:rsidRPr="002067ED" w:rsidRDefault="00497BCB" w:rsidP="00497BCB">
      <w:pPr>
        <w:pStyle w:val="BodyText"/>
        <w:numPr>
          <w:ilvl w:val="0"/>
          <w:numId w:val="81"/>
        </w:numPr>
        <w:suppressAutoHyphens/>
      </w:pPr>
      <w:r w:rsidRPr="002067ED">
        <w:t>Re-routeing of traffic or part of the traffic to avoid sensitive areas. Is the new situation safer and what are the ship costs?</w:t>
      </w:r>
    </w:p>
    <w:p w14:paraId="21A7C1D4" w14:textId="77777777" w:rsidR="00497BCB" w:rsidRPr="002067ED" w:rsidRDefault="00497BCB" w:rsidP="00497BCB">
      <w:pPr>
        <w:pStyle w:val="BodyText"/>
        <w:numPr>
          <w:ilvl w:val="0"/>
          <w:numId w:val="81"/>
        </w:numPr>
        <w:suppressAutoHyphens/>
      </w:pPr>
      <w:r w:rsidRPr="002067ED">
        <w:t xml:space="preserve">What is the effect of training on the accident rate and what does that mean in terms of benefits? </w:t>
      </w:r>
    </w:p>
    <w:p w14:paraId="3BC3A7C6" w14:textId="77777777" w:rsidR="00497BCB" w:rsidRPr="002067ED" w:rsidRDefault="00497BCB" w:rsidP="00497BCB">
      <w:pPr>
        <w:pStyle w:val="BodyText"/>
        <w:numPr>
          <w:ilvl w:val="0"/>
          <w:numId w:val="81"/>
        </w:numPr>
        <w:suppressAutoHyphens/>
      </w:pPr>
      <w:r w:rsidRPr="002067ED">
        <w:t xml:space="preserve">What is the effect of changes in the construction and/or loading regulations of vessel on the frequency of spills as consequence of </w:t>
      </w:r>
      <w:proofErr w:type="spellStart"/>
      <w:proofErr w:type="gramStart"/>
      <w:r w:rsidRPr="002067ED">
        <w:t>a</w:t>
      </w:r>
      <w:proofErr w:type="spellEnd"/>
      <w:proofErr w:type="gramEnd"/>
      <w:r w:rsidRPr="002067ED">
        <w:t xml:space="preserve"> accident?</w:t>
      </w:r>
    </w:p>
    <w:p w14:paraId="5C0834E3" w14:textId="77777777" w:rsidR="00497BCB" w:rsidRPr="002067ED" w:rsidRDefault="00497BCB" w:rsidP="00497BCB">
      <w:pPr>
        <w:pStyle w:val="BodyText"/>
        <w:numPr>
          <w:ilvl w:val="0"/>
          <w:numId w:val="81"/>
        </w:numPr>
        <w:suppressAutoHyphens/>
      </w:pPr>
      <w:r w:rsidRPr="002067ED">
        <w:t>What is the effect of the introduction of a “clearways system” in the North Sea and other waters of interest?</w:t>
      </w:r>
    </w:p>
    <w:p w14:paraId="41E1E020" w14:textId="77777777" w:rsidR="00497BCB" w:rsidRPr="002067ED" w:rsidRDefault="00497BCB" w:rsidP="00497BCB">
      <w:pPr>
        <w:pStyle w:val="BodyText"/>
        <w:suppressAutoHyphens/>
      </w:pPr>
    </w:p>
    <w:p w14:paraId="1160088A" w14:textId="77777777" w:rsidR="00497BCB" w:rsidRPr="002067ED" w:rsidRDefault="00497BCB" w:rsidP="004C2640">
      <w:pPr>
        <w:pStyle w:val="AnnexHead2"/>
      </w:pPr>
      <w:bookmarkStart w:id="7" w:name="_Toc77322575"/>
      <w:bookmarkStart w:id="8" w:name="_Toc158368563"/>
      <w:bookmarkStart w:id="9" w:name="_Toc175053684"/>
      <w:r w:rsidRPr="002067ED">
        <w:t>Examples of application of the model</w:t>
      </w:r>
      <w:bookmarkEnd w:id="7"/>
      <w:bookmarkEnd w:id="8"/>
      <w:bookmarkEnd w:id="9"/>
    </w:p>
    <w:p w14:paraId="2C34529A" w14:textId="77777777" w:rsidR="00497BCB" w:rsidRPr="002067ED" w:rsidRDefault="00497BCB" w:rsidP="00497BCB">
      <w:pPr>
        <w:pStyle w:val="BodyText"/>
        <w:numPr>
          <w:ilvl w:val="0"/>
          <w:numId w:val="82"/>
        </w:numPr>
        <w:suppressAutoHyphens/>
      </w:pPr>
      <w:r w:rsidRPr="002067ED">
        <w:t>Presenting traffic images in sea areas.</w:t>
      </w:r>
    </w:p>
    <w:p w14:paraId="6E51A7D2" w14:textId="77777777" w:rsidR="00497BCB" w:rsidRPr="002067ED" w:rsidRDefault="00497BCB" w:rsidP="00497BCB">
      <w:pPr>
        <w:pStyle w:val="BodyText"/>
        <w:numPr>
          <w:ilvl w:val="0"/>
          <w:numId w:val="82"/>
        </w:numPr>
        <w:suppressAutoHyphens/>
      </w:pPr>
      <w:r w:rsidRPr="002067ED">
        <w:t xml:space="preserve">Assessment of the spillage of oil and chemicals in case of collisions, grounding and foundering </w:t>
      </w:r>
      <w:proofErr w:type="gramStart"/>
      <w:r w:rsidRPr="002067ED">
        <w:t>on the basis of</w:t>
      </w:r>
      <w:proofErr w:type="gramEnd"/>
      <w:r w:rsidRPr="002067ED">
        <w:t xml:space="preserve"> the expected hull damage.</w:t>
      </w:r>
    </w:p>
    <w:p w14:paraId="4DA0273D" w14:textId="77777777" w:rsidR="00497BCB" w:rsidRPr="002067ED" w:rsidRDefault="00497BCB" w:rsidP="00497BCB">
      <w:pPr>
        <w:pStyle w:val="BodyText"/>
        <w:numPr>
          <w:ilvl w:val="0"/>
          <w:numId w:val="82"/>
        </w:numPr>
        <w:suppressAutoHyphens/>
      </w:pPr>
      <w:r w:rsidRPr="002067ED">
        <w:t xml:space="preserve">Assessment of the pollution of the environment due to normal operations. </w:t>
      </w:r>
    </w:p>
    <w:p w14:paraId="140E240F" w14:textId="77777777" w:rsidR="00497BCB" w:rsidRPr="002067ED" w:rsidRDefault="00497BCB" w:rsidP="00497BCB">
      <w:pPr>
        <w:pStyle w:val="BodyText"/>
        <w:numPr>
          <w:ilvl w:val="0"/>
          <w:numId w:val="82"/>
        </w:numPr>
        <w:suppressAutoHyphens/>
      </w:pPr>
      <w:r w:rsidRPr="002067ED">
        <w:t>Collision risk assessment for offshore platforms. How safe is the intended position? What is the probability that the platform will be collided by a ship and what will be the distribution of the ship sizes in that case? What are the possible risk control measures and what does it yield?</w:t>
      </w:r>
    </w:p>
    <w:p w14:paraId="7D89FF34" w14:textId="77777777" w:rsidR="00497BCB" w:rsidRPr="002067ED" w:rsidRDefault="00497BCB" w:rsidP="00497BCB">
      <w:pPr>
        <w:pStyle w:val="BodyText"/>
        <w:numPr>
          <w:ilvl w:val="0"/>
          <w:numId w:val="82"/>
        </w:numPr>
        <w:suppressAutoHyphens/>
      </w:pPr>
      <w:r w:rsidRPr="002067ED">
        <w:t>Frequency of hitting pipelines by containers, anchors and sinking ships.</w:t>
      </w:r>
    </w:p>
    <w:p w14:paraId="32107117" w14:textId="77777777" w:rsidR="00497BCB" w:rsidRPr="002067ED" w:rsidRDefault="00497BCB" w:rsidP="00497BCB">
      <w:pPr>
        <w:pStyle w:val="BodyText"/>
        <w:numPr>
          <w:ilvl w:val="0"/>
          <w:numId w:val="82"/>
        </w:numPr>
        <w:suppressAutoHyphens/>
      </w:pPr>
      <w:r w:rsidRPr="002067ED">
        <w:t>Assessment of the optimum location and capacity for the salvage tug and oil recovery vessels for a required safety level.</w:t>
      </w:r>
    </w:p>
    <w:p w14:paraId="3BCF5B4B" w14:textId="77777777" w:rsidR="00497BCB" w:rsidRPr="002067ED" w:rsidRDefault="00497BCB" w:rsidP="00497BCB">
      <w:pPr>
        <w:pStyle w:val="BodyText"/>
        <w:numPr>
          <w:ilvl w:val="0"/>
          <w:numId w:val="82"/>
        </w:numPr>
        <w:suppressAutoHyphens/>
      </w:pPr>
      <w:r w:rsidRPr="002067ED">
        <w:t>Assessment of the optimum location and capacity of units for the Search and Rescues capacity plan.</w:t>
      </w:r>
    </w:p>
    <w:p w14:paraId="1CEE2138" w14:textId="77777777" w:rsidR="00497BCB" w:rsidRPr="002067ED" w:rsidRDefault="00497BCB" w:rsidP="00497BCB">
      <w:pPr>
        <w:pStyle w:val="BodyText"/>
        <w:numPr>
          <w:ilvl w:val="0"/>
          <w:numId w:val="82"/>
        </w:numPr>
        <w:suppressAutoHyphens/>
      </w:pPr>
      <w:r w:rsidRPr="002067ED">
        <w:t>Collision Risk Assessment for offshore wind farms.</w:t>
      </w:r>
    </w:p>
    <w:p w14:paraId="767D1411" w14:textId="77777777" w:rsidR="00497BCB" w:rsidRPr="002067ED" w:rsidRDefault="00497BCB" w:rsidP="00497BCB">
      <w:pPr>
        <w:pStyle w:val="BodyText"/>
        <w:suppressAutoHyphens/>
      </w:pPr>
    </w:p>
    <w:p w14:paraId="3777CF41" w14:textId="77777777" w:rsidR="00497BCB" w:rsidRPr="00497BCB" w:rsidRDefault="00497BCB" w:rsidP="00497BCB">
      <w:pPr>
        <w:pStyle w:val="BodyText"/>
        <w:suppressAutoHyphens/>
      </w:pPr>
      <w:r w:rsidRPr="00497BCB">
        <w:br w:type="page"/>
      </w:r>
    </w:p>
    <w:p w14:paraId="0A56CCDB" w14:textId="77777777" w:rsidR="00497BCB" w:rsidRPr="002067ED" w:rsidRDefault="00497BCB" w:rsidP="004C2640">
      <w:pPr>
        <w:pStyle w:val="AnnexHead2"/>
      </w:pPr>
      <w:bookmarkStart w:id="10" w:name="_Toc77322576"/>
      <w:bookmarkStart w:id="11" w:name="_Toc158368564"/>
      <w:bookmarkStart w:id="12" w:name="_Toc175053685"/>
      <w:r w:rsidRPr="002067ED">
        <w:lastRenderedPageBreak/>
        <w:t>Accident models in SAMSON</w:t>
      </w:r>
      <w:bookmarkEnd w:id="10"/>
      <w:bookmarkEnd w:id="11"/>
      <w:bookmarkEnd w:id="12"/>
    </w:p>
    <w:p w14:paraId="3EFD91AD" w14:textId="77777777" w:rsidR="00497BCB" w:rsidRPr="002067ED" w:rsidRDefault="00497BCB" w:rsidP="00497BCB">
      <w:pPr>
        <w:spacing w:line="240" w:lineRule="auto"/>
        <w:rPr>
          <w:rFonts w:cs="Arial"/>
        </w:rPr>
      </w:pPr>
    </w:p>
    <w:p w14:paraId="20CA6275" w14:textId="2E4FA826" w:rsidR="00497BCB" w:rsidRPr="00DD34D8" w:rsidRDefault="00497BCB" w:rsidP="00DD34D8">
      <w:pPr>
        <w:pStyle w:val="BodyText"/>
        <w:suppressAutoHyphens/>
        <w:rPr>
          <w:lang w:val="en-US"/>
        </w:rPr>
      </w:pPr>
      <w:r w:rsidRPr="00DD34D8">
        <w:rPr>
          <w:lang w:val="en-US"/>
        </w:rPr>
        <w:t xml:space="preserve">The frequency in which a certain type of (collision) accident occurs at sea is modelled by multiplying a certain </w:t>
      </w:r>
      <w:r w:rsidRPr="00E77182">
        <w:rPr>
          <w:b/>
          <w:bCs/>
          <w:i/>
          <w:iCs/>
          <w:lang w:val="en-US"/>
        </w:rPr>
        <w:t>exposure measure</w:t>
      </w:r>
      <w:r w:rsidRPr="00DD34D8">
        <w:rPr>
          <w:lang w:val="en-US"/>
        </w:rPr>
        <w:t xml:space="preserve"> with a </w:t>
      </w:r>
      <w:r w:rsidRPr="00E77182">
        <w:rPr>
          <w:b/>
          <w:bCs/>
          <w:i/>
          <w:iCs/>
          <w:lang w:val="en-US"/>
        </w:rPr>
        <w:t>ba</w:t>
      </w:r>
      <w:r w:rsidR="00E77182" w:rsidRPr="00E77182">
        <w:rPr>
          <w:b/>
          <w:bCs/>
          <w:i/>
          <w:iCs/>
          <w:lang w:val="en-US"/>
        </w:rPr>
        <w:t>re</w:t>
      </w:r>
      <w:r w:rsidRPr="00E77182">
        <w:rPr>
          <w:b/>
          <w:bCs/>
          <w:i/>
          <w:iCs/>
          <w:lang w:val="en-US"/>
        </w:rPr>
        <w:t xml:space="preserve"> accident rate</w:t>
      </w:r>
      <w:r w:rsidRPr="00DD34D8">
        <w:rPr>
          <w:lang w:val="en-US"/>
        </w:rPr>
        <w:t xml:space="preserve">. </w:t>
      </w:r>
    </w:p>
    <w:p w14:paraId="0F2FD65C" w14:textId="77777777" w:rsidR="00497BCB" w:rsidRPr="00E77182" w:rsidRDefault="00497BCB" w:rsidP="00E77182">
      <w:pPr>
        <w:pStyle w:val="BodyText"/>
        <w:numPr>
          <w:ilvl w:val="0"/>
          <w:numId w:val="85"/>
        </w:numPr>
        <w:suppressAutoHyphens/>
        <w:rPr>
          <w:lang w:val="en-US"/>
        </w:rPr>
      </w:pPr>
      <w:r w:rsidRPr="00E77182">
        <w:rPr>
          <w:lang w:val="en-US"/>
        </w:rPr>
        <w:t xml:space="preserve">An exposure measure can be explained as a certain elementary “traffic situation” which is representative for a certain type of accident. </w:t>
      </w:r>
    </w:p>
    <w:p w14:paraId="393F2F36" w14:textId="77777777" w:rsidR="00497BCB" w:rsidRPr="00E77182" w:rsidRDefault="00497BCB" w:rsidP="00E77182">
      <w:pPr>
        <w:pStyle w:val="BodyText"/>
        <w:numPr>
          <w:ilvl w:val="0"/>
          <w:numId w:val="85"/>
        </w:numPr>
        <w:suppressAutoHyphens/>
        <w:rPr>
          <w:lang w:val="en-US"/>
        </w:rPr>
      </w:pPr>
      <w:r w:rsidRPr="00E77182">
        <w:rPr>
          <w:lang w:val="en-US"/>
        </w:rPr>
        <w:t xml:space="preserve">The basic accident rate is the probability that the situation leads to a real collision. The accident rate is determined from accident data from the different accident databases. </w:t>
      </w:r>
    </w:p>
    <w:p w14:paraId="4802EF67" w14:textId="77777777" w:rsidR="00497BCB" w:rsidRPr="00DD34D8" w:rsidRDefault="00497BCB" w:rsidP="00DD34D8">
      <w:pPr>
        <w:pStyle w:val="BodyText"/>
        <w:suppressAutoHyphens/>
        <w:rPr>
          <w:lang w:val="en-US"/>
        </w:rPr>
      </w:pPr>
      <w:r w:rsidRPr="00DD34D8">
        <w:rPr>
          <w:lang w:val="en-US"/>
        </w:rPr>
        <w:t xml:space="preserve">The main thought behind all models (except the ship/ship-model) is that accidents can be divided </w:t>
      </w:r>
      <w:proofErr w:type="gramStart"/>
      <w:r w:rsidRPr="00DD34D8">
        <w:rPr>
          <w:lang w:val="en-US"/>
        </w:rPr>
        <w:t>in</w:t>
      </w:r>
      <w:proofErr w:type="gramEnd"/>
      <w:r w:rsidRPr="00DD34D8">
        <w:rPr>
          <w:lang w:val="en-US"/>
        </w:rPr>
        <w:t xml:space="preserve"> accidents at low speed and accident occurring at high speed. An accident occurring at low speed is caused by </w:t>
      </w:r>
      <w:r w:rsidRPr="00E77182">
        <w:rPr>
          <w:b/>
          <w:bCs/>
          <w:i/>
          <w:iCs/>
          <w:lang w:val="en-US"/>
        </w:rPr>
        <w:t>an engine failure</w:t>
      </w:r>
      <w:r w:rsidRPr="00DD34D8">
        <w:rPr>
          <w:lang w:val="en-US"/>
        </w:rPr>
        <w:t xml:space="preserve">, a failure in the propulsion engine or in the steering equipment. Because of this engine failure the ship slowly becomes uncontrollable as it loses speed, the combined effect of wind, waves and current may cause it to drift. An accident occurring at high speed is caused by a </w:t>
      </w:r>
      <w:r w:rsidRPr="00E77182">
        <w:rPr>
          <w:b/>
          <w:bCs/>
          <w:i/>
          <w:iCs/>
          <w:lang w:val="en-US"/>
        </w:rPr>
        <w:t>human error</w:t>
      </w:r>
      <w:r w:rsidRPr="00DD34D8">
        <w:rPr>
          <w:lang w:val="en-US"/>
        </w:rPr>
        <w:t xml:space="preserve"> or </w:t>
      </w:r>
      <w:r w:rsidRPr="00E77182">
        <w:rPr>
          <w:b/>
          <w:bCs/>
          <w:i/>
          <w:iCs/>
          <w:lang w:val="en-US"/>
        </w:rPr>
        <w:t>navigational error.</w:t>
      </w:r>
    </w:p>
    <w:p w14:paraId="33A71284" w14:textId="77777777" w:rsidR="00497BCB" w:rsidRPr="00DD34D8" w:rsidRDefault="00497BCB" w:rsidP="00DD34D8">
      <w:pPr>
        <w:pStyle w:val="BodyText"/>
        <w:suppressAutoHyphens/>
        <w:rPr>
          <w:lang w:val="en-US"/>
        </w:rPr>
      </w:pPr>
    </w:p>
    <w:p w14:paraId="2B7E3276" w14:textId="77777777" w:rsidR="00497BCB" w:rsidRPr="00DD34D8" w:rsidRDefault="00497BCB" w:rsidP="00DD34D8">
      <w:pPr>
        <w:pStyle w:val="BodyText"/>
        <w:suppressAutoHyphens/>
        <w:rPr>
          <w:lang w:val="en-US"/>
        </w:rPr>
      </w:pPr>
      <w:r w:rsidRPr="00DD34D8">
        <w:rPr>
          <w:lang w:val="en-US"/>
        </w:rPr>
        <w:t>The different type of accidents defined in SAMSON with their cause and exposure measure can be found in Table A-1.</w:t>
      </w:r>
    </w:p>
    <w:p w14:paraId="2362B0E9" w14:textId="77777777" w:rsidR="00497BCB" w:rsidRPr="002067ED" w:rsidRDefault="00497BCB" w:rsidP="00497BCB">
      <w:pPr>
        <w:spacing w:line="240" w:lineRule="auto"/>
        <w:rPr>
          <w:rFonts w:cs="Arial"/>
          <w:szCs w:val="21"/>
        </w:rPr>
      </w:pPr>
    </w:p>
    <w:p w14:paraId="1C299E88" w14:textId="02A95983" w:rsidR="00497BCB" w:rsidRPr="002067ED" w:rsidRDefault="00497BCB" w:rsidP="008850E7">
      <w:pPr>
        <w:pStyle w:val="AnnexTablecaption"/>
        <w:numPr>
          <w:ilvl w:val="0"/>
          <w:numId w:val="0"/>
        </w:numPr>
        <w:ind w:left="992"/>
        <w:jc w:val="left"/>
        <w:rPr>
          <w:rFonts w:cs="Arial"/>
        </w:rPr>
      </w:pPr>
      <w:r w:rsidRPr="002067ED">
        <w:t>Table A-</w:t>
      </w:r>
      <w:fldSimple w:instr=" SEQ Tabel_A- \* ARABIC ">
        <w:r w:rsidR="00421B79">
          <w:rPr>
            <w:noProof/>
          </w:rPr>
          <w:t>1</w:t>
        </w:r>
      </w:fldSimple>
      <w:r w:rsidRPr="002067ED">
        <w:tab/>
        <w:t>Overview of the different types of accidents distinguished in SAMSON</w:t>
      </w:r>
    </w:p>
    <w:tbl>
      <w:tblPr>
        <w:tblW w:w="9757" w:type="dxa"/>
        <w:tblInd w:w="57" w:type="dxa"/>
        <w:tblLayout w:type="fixed"/>
        <w:tblCellMar>
          <w:left w:w="57" w:type="dxa"/>
          <w:right w:w="57" w:type="dxa"/>
        </w:tblCellMar>
        <w:tblLook w:val="0000" w:firstRow="0" w:lastRow="0" w:firstColumn="0" w:lastColumn="0" w:noHBand="0" w:noVBand="0"/>
      </w:tblPr>
      <w:tblGrid>
        <w:gridCol w:w="1835"/>
        <w:gridCol w:w="3832"/>
        <w:gridCol w:w="1701"/>
        <w:gridCol w:w="2389"/>
      </w:tblGrid>
      <w:tr w:rsidR="00497BCB" w:rsidRPr="002067ED" w14:paraId="5BC08837" w14:textId="77777777" w:rsidTr="0055006A">
        <w:trPr>
          <w:trHeight w:val="284"/>
        </w:trPr>
        <w:tc>
          <w:tcPr>
            <w:tcW w:w="1835" w:type="dxa"/>
            <w:tcBorders>
              <w:top w:val="single" w:sz="12" w:space="0" w:color="auto"/>
              <w:left w:val="single" w:sz="12" w:space="0" w:color="auto"/>
              <w:bottom w:val="nil"/>
              <w:right w:val="single" w:sz="6" w:space="0" w:color="auto"/>
            </w:tcBorders>
            <w:vAlign w:val="center"/>
          </w:tcPr>
          <w:p w14:paraId="03B3909D" w14:textId="77777777" w:rsidR="00497BCB" w:rsidRPr="00374658" w:rsidRDefault="00497BCB" w:rsidP="00374658">
            <w:pPr>
              <w:pStyle w:val="Tableheading"/>
              <w:suppressAutoHyphens/>
            </w:pPr>
            <w:r w:rsidRPr="00374658">
              <w:t>Type</w:t>
            </w:r>
          </w:p>
        </w:tc>
        <w:tc>
          <w:tcPr>
            <w:tcW w:w="3832" w:type="dxa"/>
            <w:tcBorders>
              <w:top w:val="single" w:sz="12" w:space="0" w:color="auto"/>
              <w:left w:val="single" w:sz="6" w:space="0" w:color="auto"/>
              <w:bottom w:val="nil"/>
              <w:right w:val="single" w:sz="6" w:space="0" w:color="auto"/>
            </w:tcBorders>
            <w:vAlign w:val="center"/>
          </w:tcPr>
          <w:p w14:paraId="1ABF9C46" w14:textId="77777777" w:rsidR="00497BCB" w:rsidRPr="00374658" w:rsidRDefault="00497BCB" w:rsidP="00374658">
            <w:pPr>
              <w:pStyle w:val="Tableheading"/>
              <w:suppressAutoHyphens/>
            </w:pPr>
            <w:r w:rsidRPr="00374658">
              <w:t>Subtype</w:t>
            </w:r>
          </w:p>
        </w:tc>
        <w:tc>
          <w:tcPr>
            <w:tcW w:w="1701" w:type="dxa"/>
            <w:tcBorders>
              <w:top w:val="single" w:sz="12" w:space="0" w:color="auto"/>
              <w:left w:val="single" w:sz="6" w:space="0" w:color="auto"/>
              <w:bottom w:val="nil"/>
              <w:right w:val="single" w:sz="6" w:space="0" w:color="auto"/>
            </w:tcBorders>
            <w:vAlign w:val="center"/>
          </w:tcPr>
          <w:p w14:paraId="43DAD69D" w14:textId="77777777" w:rsidR="00497BCB" w:rsidRPr="00374658" w:rsidRDefault="00497BCB" w:rsidP="00374658">
            <w:pPr>
              <w:pStyle w:val="Tableheading"/>
              <w:suppressAutoHyphens/>
            </w:pPr>
            <w:r w:rsidRPr="00374658">
              <w:t>Cause</w:t>
            </w:r>
          </w:p>
        </w:tc>
        <w:tc>
          <w:tcPr>
            <w:tcW w:w="2389" w:type="dxa"/>
            <w:tcBorders>
              <w:top w:val="single" w:sz="12" w:space="0" w:color="auto"/>
              <w:left w:val="single" w:sz="6" w:space="0" w:color="auto"/>
              <w:bottom w:val="nil"/>
              <w:right w:val="single" w:sz="12" w:space="0" w:color="auto"/>
            </w:tcBorders>
            <w:vAlign w:val="center"/>
          </w:tcPr>
          <w:p w14:paraId="3D680CD1" w14:textId="77777777" w:rsidR="00497BCB" w:rsidRPr="00374658" w:rsidRDefault="00497BCB" w:rsidP="00374658">
            <w:pPr>
              <w:pStyle w:val="Tableheading"/>
              <w:suppressAutoHyphens/>
            </w:pPr>
            <w:r w:rsidRPr="00374658">
              <w:t>Exposure measure</w:t>
            </w:r>
          </w:p>
        </w:tc>
      </w:tr>
      <w:tr w:rsidR="00497BCB" w:rsidRPr="002067ED" w14:paraId="6FEB26E5" w14:textId="77777777" w:rsidTr="0055006A">
        <w:trPr>
          <w:trHeight w:val="284"/>
        </w:trPr>
        <w:tc>
          <w:tcPr>
            <w:tcW w:w="1835" w:type="dxa"/>
            <w:tcBorders>
              <w:top w:val="single" w:sz="12" w:space="0" w:color="auto"/>
              <w:left w:val="single" w:sz="12" w:space="0" w:color="auto"/>
              <w:bottom w:val="single" w:sz="12" w:space="0" w:color="auto"/>
              <w:right w:val="single" w:sz="6" w:space="0" w:color="auto"/>
            </w:tcBorders>
            <w:vAlign w:val="center"/>
          </w:tcPr>
          <w:p w14:paraId="04367B1A" w14:textId="77777777" w:rsidR="00497BCB" w:rsidRPr="0055006A" w:rsidRDefault="00497BCB" w:rsidP="0055006A">
            <w:pPr>
              <w:pStyle w:val="Tabletext"/>
              <w:suppressAutoHyphens/>
            </w:pPr>
            <w:r w:rsidRPr="0055006A">
              <w:t>Ship/Ship collision</w:t>
            </w:r>
          </w:p>
        </w:tc>
        <w:tc>
          <w:tcPr>
            <w:tcW w:w="3832" w:type="dxa"/>
            <w:tcBorders>
              <w:top w:val="single" w:sz="12" w:space="0" w:color="auto"/>
              <w:left w:val="single" w:sz="6" w:space="0" w:color="auto"/>
              <w:bottom w:val="nil"/>
              <w:right w:val="single" w:sz="6" w:space="0" w:color="auto"/>
            </w:tcBorders>
            <w:vAlign w:val="center"/>
          </w:tcPr>
          <w:p w14:paraId="391D551C" w14:textId="409FBDCE" w:rsidR="00497BCB" w:rsidRPr="0055006A" w:rsidRDefault="004F6C81" w:rsidP="0055006A">
            <w:pPr>
              <w:pStyle w:val="Tabletext"/>
              <w:suppressAutoHyphens/>
            </w:pPr>
            <w:r>
              <w:t>Sailing ships</w:t>
            </w:r>
          </w:p>
        </w:tc>
        <w:tc>
          <w:tcPr>
            <w:tcW w:w="1701" w:type="dxa"/>
            <w:tcBorders>
              <w:top w:val="single" w:sz="12" w:space="0" w:color="auto"/>
              <w:left w:val="single" w:sz="6" w:space="0" w:color="auto"/>
              <w:bottom w:val="nil"/>
              <w:right w:val="single" w:sz="6" w:space="0" w:color="auto"/>
            </w:tcBorders>
            <w:vAlign w:val="center"/>
          </w:tcPr>
          <w:p w14:paraId="3556E3A5" w14:textId="77777777" w:rsidR="00497BCB" w:rsidRPr="0055006A" w:rsidRDefault="00497BCB" w:rsidP="0055006A">
            <w:pPr>
              <w:pStyle w:val="Tabletext"/>
              <w:suppressAutoHyphens/>
            </w:pPr>
            <w:r w:rsidRPr="0055006A">
              <w:t>Human error</w:t>
            </w:r>
          </w:p>
        </w:tc>
        <w:tc>
          <w:tcPr>
            <w:tcW w:w="2389" w:type="dxa"/>
            <w:tcBorders>
              <w:top w:val="single" w:sz="12" w:space="0" w:color="auto"/>
              <w:left w:val="single" w:sz="6" w:space="0" w:color="auto"/>
              <w:bottom w:val="nil"/>
              <w:right w:val="single" w:sz="12" w:space="0" w:color="auto"/>
            </w:tcBorders>
            <w:vAlign w:val="center"/>
          </w:tcPr>
          <w:p w14:paraId="61680DED" w14:textId="77777777" w:rsidR="00497BCB" w:rsidRPr="0055006A" w:rsidRDefault="00497BCB" w:rsidP="0055006A">
            <w:pPr>
              <w:pStyle w:val="Tabletext"/>
              <w:suppressAutoHyphens/>
            </w:pPr>
            <w:r w:rsidRPr="0055006A">
              <w:t>Encounter</w:t>
            </w:r>
          </w:p>
        </w:tc>
      </w:tr>
      <w:tr w:rsidR="00497BCB" w:rsidRPr="002067ED" w14:paraId="665A6C77" w14:textId="77777777" w:rsidTr="0055006A">
        <w:trPr>
          <w:trHeight w:val="284"/>
        </w:trPr>
        <w:tc>
          <w:tcPr>
            <w:tcW w:w="1835" w:type="dxa"/>
            <w:vMerge w:val="restart"/>
            <w:tcBorders>
              <w:top w:val="single" w:sz="12" w:space="0" w:color="auto"/>
              <w:left w:val="single" w:sz="12" w:space="0" w:color="auto"/>
              <w:right w:val="single" w:sz="6" w:space="0" w:color="auto"/>
            </w:tcBorders>
            <w:vAlign w:val="center"/>
          </w:tcPr>
          <w:p w14:paraId="2B400B51" w14:textId="77777777" w:rsidR="00497BCB" w:rsidRPr="0055006A" w:rsidRDefault="00497BCB" w:rsidP="0055006A">
            <w:pPr>
              <w:pStyle w:val="Tabletext"/>
              <w:suppressAutoHyphens/>
            </w:pPr>
            <w:r w:rsidRPr="0055006A">
              <w:t xml:space="preserve">  </w:t>
            </w:r>
          </w:p>
        </w:tc>
        <w:tc>
          <w:tcPr>
            <w:tcW w:w="3832" w:type="dxa"/>
            <w:tcBorders>
              <w:top w:val="single" w:sz="12" w:space="0" w:color="auto"/>
              <w:left w:val="single" w:sz="6" w:space="0" w:color="auto"/>
              <w:bottom w:val="single" w:sz="6" w:space="0" w:color="auto"/>
              <w:right w:val="single" w:sz="6" w:space="0" w:color="auto"/>
            </w:tcBorders>
            <w:vAlign w:val="center"/>
          </w:tcPr>
          <w:p w14:paraId="52FEDA19" w14:textId="77777777" w:rsidR="00497BCB" w:rsidRPr="0055006A" w:rsidRDefault="00497BCB" w:rsidP="0055006A">
            <w:pPr>
              <w:pStyle w:val="Tabletext"/>
              <w:suppressAutoHyphens/>
            </w:pPr>
            <w:r w:rsidRPr="0055006A">
              <w:t>Ramming ship/anchored ship anchor area</w:t>
            </w:r>
          </w:p>
        </w:tc>
        <w:tc>
          <w:tcPr>
            <w:tcW w:w="1701" w:type="dxa"/>
            <w:tcBorders>
              <w:top w:val="single" w:sz="12" w:space="0" w:color="auto"/>
              <w:left w:val="single" w:sz="6" w:space="0" w:color="auto"/>
              <w:bottom w:val="single" w:sz="6" w:space="0" w:color="auto"/>
              <w:right w:val="single" w:sz="6" w:space="0" w:color="auto"/>
            </w:tcBorders>
            <w:vAlign w:val="center"/>
          </w:tcPr>
          <w:p w14:paraId="1601C95A" w14:textId="77777777" w:rsidR="00497BCB" w:rsidRPr="0055006A" w:rsidRDefault="00497BCB" w:rsidP="0055006A">
            <w:pPr>
              <w:pStyle w:val="Tabletext"/>
              <w:suppressAutoHyphens/>
            </w:pPr>
            <w:r w:rsidRPr="0055006A">
              <w:t>Human error</w:t>
            </w:r>
          </w:p>
        </w:tc>
        <w:tc>
          <w:tcPr>
            <w:tcW w:w="2389" w:type="dxa"/>
            <w:tcBorders>
              <w:top w:val="single" w:sz="12" w:space="0" w:color="auto"/>
              <w:left w:val="single" w:sz="6" w:space="0" w:color="auto"/>
              <w:bottom w:val="single" w:sz="6" w:space="0" w:color="auto"/>
              <w:right w:val="single" w:sz="12" w:space="0" w:color="auto"/>
            </w:tcBorders>
            <w:vAlign w:val="center"/>
          </w:tcPr>
          <w:p w14:paraId="5D96341F" w14:textId="77777777" w:rsidR="00497BCB" w:rsidRPr="0055006A" w:rsidRDefault="00497BCB" w:rsidP="0055006A">
            <w:pPr>
              <w:pStyle w:val="Tabletext"/>
              <w:suppressAutoHyphens/>
            </w:pPr>
            <w:r w:rsidRPr="0055006A">
              <w:t>Anchored ship ramming opportunity</w:t>
            </w:r>
          </w:p>
        </w:tc>
      </w:tr>
      <w:tr w:rsidR="00497BCB" w:rsidRPr="002067ED" w14:paraId="4F6B7761" w14:textId="77777777" w:rsidTr="0055006A">
        <w:trPr>
          <w:trHeight w:val="284"/>
        </w:trPr>
        <w:tc>
          <w:tcPr>
            <w:tcW w:w="1835" w:type="dxa"/>
            <w:vMerge/>
            <w:tcBorders>
              <w:left w:val="single" w:sz="12" w:space="0" w:color="auto"/>
              <w:bottom w:val="nil"/>
              <w:right w:val="single" w:sz="6" w:space="0" w:color="auto"/>
            </w:tcBorders>
            <w:vAlign w:val="center"/>
          </w:tcPr>
          <w:p w14:paraId="35FFFDF4" w14:textId="77777777" w:rsidR="00497BCB" w:rsidRPr="0055006A" w:rsidRDefault="00497BCB" w:rsidP="0055006A">
            <w:pPr>
              <w:pStyle w:val="Tabletext"/>
              <w:suppressAutoHyphens/>
            </w:pPr>
          </w:p>
        </w:tc>
        <w:tc>
          <w:tcPr>
            <w:tcW w:w="3832" w:type="dxa"/>
            <w:tcBorders>
              <w:top w:val="single" w:sz="6" w:space="0" w:color="auto"/>
              <w:left w:val="single" w:sz="6" w:space="0" w:color="auto"/>
              <w:bottom w:val="single" w:sz="6" w:space="0" w:color="auto"/>
              <w:right w:val="single" w:sz="6" w:space="0" w:color="auto"/>
            </w:tcBorders>
            <w:vAlign w:val="center"/>
          </w:tcPr>
          <w:p w14:paraId="38BE429F" w14:textId="77777777" w:rsidR="00497BCB" w:rsidRPr="0055006A" w:rsidRDefault="00497BCB" w:rsidP="0055006A">
            <w:pPr>
              <w:pStyle w:val="Tabletext"/>
              <w:suppressAutoHyphens/>
            </w:pPr>
            <w:r w:rsidRPr="0055006A">
              <w:t>Ramming ship/anchored ship anchor area</w:t>
            </w:r>
          </w:p>
        </w:tc>
        <w:tc>
          <w:tcPr>
            <w:tcW w:w="1701" w:type="dxa"/>
            <w:tcBorders>
              <w:top w:val="single" w:sz="6" w:space="0" w:color="auto"/>
              <w:left w:val="single" w:sz="6" w:space="0" w:color="auto"/>
              <w:bottom w:val="single" w:sz="6" w:space="0" w:color="auto"/>
              <w:right w:val="single" w:sz="6" w:space="0" w:color="auto"/>
            </w:tcBorders>
            <w:vAlign w:val="center"/>
          </w:tcPr>
          <w:p w14:paraId="760EA473" w14:textId="77777777" w:rsidR="00497BCB" w:rsidRPr="0055006A" w:rsidRDefault="00497BCB" w:rsidP="0055006A">
            <w:pPr>
              <w:pStyle w:val="Tabletext"/>
              <w:suppressAutoHyphens/>
            </w:pPr>
            <w:r w:rsidRPr="0055006A">
              <w:t>Engine failure</w:t>
            </w:r>
          </w:p>
        </w:tc>
        <w:tc>
          <w:tcPr>
            <w:tcW w:w="2389" w:type="dxa"/>
            <w:tcBorders>
              <w:top w:val="single" w:sz="6" w:space="0" w:color="auto"/>
              <w:left w:val="single" w:sz="6" w:space="0" w:color="auto"/>
              <w:bottom w:val="single" w:sz="6" w:space="0" w:color="auto"/>
              <w:right w:val="single" w:sz="12" w:space="0" w:color="auto"/>
            </w:tcBorders>
            <w:vAlign w:val="center"/>
          </w:tcPr>
          <w:p w14:paraId="2AC7D60D" w14:textId="77777777" w:rsidR="00497BCB" w:rsidRPr="0055006A" w:rsidRDefault="00497BCB" w:rsidP="0055006A">
            <w:pPr>
              <w:pStyle w:val="Tabletext"/>
              <w:suppressAutoHyphens/>
            </w:pPr>
            <w:r w:rsidRPr="0055006A">
              <w:t>Danger miles</w:t>
            </w:r>
          </w:p>
        </w:tc>
      </w:tr>
      <w:tr w:rsidR="00497BCB" w:rsidRPr="002067ED" w14:paraId="354A1FC5" w14:textId="77777777" w:rsidTr="0055006A">
        <w:trPr>
          <w:trHeight w:val="284"/>
        </w:trPr>
        <w:tc>
          <w:tcPr>
            <w:tcW w:w="1835" w:type="dxa"/>
            <w:tcBorders>
              <w:top w:val="single" w:sz="12" w:space="0" w:color="auto"/>
              <w:left w:val="single" w:sz="12" w:space="0" w:color="auto"/>
              <w:bottom w:val="nil"/>
              <w:right w:val="single" w:sz="6" w:space="0" w:color="auto"/>
            </w:tcBorders>
            <w:vAlign w:val="center"/>
          </w:tcPr>
          <w:p w14:paraId="68CFA917" w14:textId="77777777" w:rsidR="00497BCB" w:rsidRPr="0055006A" w:rsidRDefault="00497BCB" w:rsidP="0055006A">
            <w:pPr>
              <w:pStyle w:val="Tabletext"/>
              <w:suppressAutoHyphens/>
            </w:pPr>
            <w:r w:rsidRPr="0055006A">
              <w:t>Contacts</w:t>
            </w:r>
          </w:p>
        </w:tc>
        <w:tc>
          <w:tcPr>
            <w:tcW w:w="3832" w:type="dxa"/>
            <w:tcBorders>
              <w:top w:val="single" w:sz="12" w:space="0" w:color="auto"/>
              <w:left w:val="single" w:sz="6" w:space="0" w:color="auto"/>
              <w:bottom w:val="single" w:sz="6" w:space="0" w:color="auto"/>
              <w:right w:val="single" w:sz="6" w:space="0" w:color="auto"/>
            </w:tcBorders>
            <w:vAlign w:val="center"/>
          </w:tcPr>
          <w:p w14:paraId="0196C3EE" w14:textId="77777777" w:rsidR="00497BCB" w:rsidRPr="0055006A" w:rsidRDefault="00497BCB" w:rsidP="0055006A">
            <w:pPr>
              <w:pStyle w:val="Tabletext"/>
              <w:suppressAutoHyphens/>
            </w:pPr>
            <w:r w:rsidRPr="0055006A">
              <w:t>Objects with fixed position</w:t>
            </w:r>
          </w:p>
        </w:tc>
        <w:tc>
          <w:tcPr>
            <w:tcW w:w="1701" w:type="dxa"/>
            <w:tcBorders>
              <w:top w:val="single" w:sz="12" w:space="0" w:color="auto"/>
              <w:left w:val="single" w:sz="6" w:space="0" w:color="auto"/>
              <w:bottom w:val="single" w:sz="6" w:space="0" w:color="auto"/>
              <w:right w:val="single" w:sz="6" w:space="0" w:color="auto"/>
            </w:tcBorders>
            <w:vAlign w:val="center"/>
          </w:tcPr>
          <w:p w14:paraId="0FE73C82" w14:textId="77777777" w:rsidR="00497BCB" w:rsidRPr="0055006A" w:rsidRDefault="00497BCB" w:rsidP="0055006A">
            <w:pPr>
              <w:pStyle w:val="Tabletext"/>
              <w:suppressAutoHyphens/>
            </w:pPr>
            <w:r w:rsidRPr="0055006A">
              <w:t>Engine failure</w:t>
            </w:r>
          </w:p>
        </w:tc>
        <w:tc>
          <w:tcPr>
            <w:tcW w:w="2389" w:type="dxa"/>
            <w:tcBorders>
              <w:top w:val="single" w:sz="12" w:space="0" w:color="auto"/>
              <w:left w:val="single" w:sz="6" w:space="0" w:color="auto"/>
              <w:bottom w:val="single" w:sz="6" w:space="0" w:color="auto"/>
              <w:right w:val="single" w:sz="12" w:space="0" w:color="auto"/>
            </w:tcBorders>
            <w:vAlign w:val="center"/>
          </w:tcPr>
          <w:p w14:paraId="3508FFCD" w14:textId="77777777" w:rsidR="00497BCB" w:rsidRPr="0055006A" w:rsidRDefault="00497BCB" w:rsidP="0055006A">
            <w:pPr>
              <w:pStyle w:val="Tabletext"/>
              <w:suppressAutoHyphens/>
            </w:pPr>
            <w:r w:rsidRPr="0055006A">
              <w:t>Danger miles</w:t>
            </w:r>
          </w:p>
        </w:tc>
      </w:tr>
      <w:tr w:rsidR="00497BCB" w:rsidRPr="002067ED" w14:paraId="26E40149" w14:textId="77777777" w:rsidTr="0055006A">
        <w:trPr>
          <w:trHeight w:val="284"/>
        </w:trPr>
        <w:tc>
          <w:tcPr>
            <w:tcW w:w="1835" w:type="dxa"/>
            <w:tcBorders>
              <w:top w:val="nil"/>
              <w:left w:val="single" w:sz="12" w:space="0" w:color="auto"/>
              <w:bottom w:val="nil"/>
              <w:right w:val="single" w:sz="6" w:space="0" w:color="auto"/>
            </w:tcBorders>
            <w:vAlign w:val="center"/>
          </w:tcPr>
          <w:p w14:paraId="77B1A4EA" w14:textId="77777777" w:rsidR="00497BCB" w:rsidRPr="0055006A" w:rsidRDefault="00497BCB" w:rsidP="0055006A">
            <w:pPr>
              <w:pStyle w:val="Tabletext"/>
              <w:suppressAutoHyphens/>
            </w:pPr>
          </w:p>
        </w:tc>
        <w:tc>
          <w:tcPr>
            <w:tcW w:w="3832" w:type="dxa"/>
            <w:tcBorders>
              <w:top w:val="single" w:sz="6" w:space="0" w:color="auto"/>
              <w:left w:val="single" w:sz="6" w:space="0" w:color="auto"/>
              <w:bottom w:val="single" w:sz="6" w:space="0" w:color="auto"/>
              <w:right w:val="single" w:sz="6" w:space="0" w:color="auto"/>
            </w:tcBorders>
            <w:vAlign w:val="center"/>
          </w:tcPr>
          <w:p w14:paraId="75108D1E" w14:textId="77777777" w:rsidR="00497BCB" w:rsidRPr="0055006A" w:rsidRDefault="00497BCB" w:rsidP="0055006A">
            <w:pPr>
              <w:pStyle w:val="Tabletext"/>
              <w:suppressAutoHyphens/>
            </w:pPr>
            <w:r w:rsidRPr="0055006A">
              <w:t>Objects with fixed position</w:t>
            </w:r>
          </w:p>
        </w:tc>
        <w:tc>
          <w:tcPr>
            <w:tcW w:w="1701" w:type="dxa"/>
            <w:tcBorders>
              <w:top w:val="single" w:sz="6" w:space="0" w:color="auto"/>
              <w:left w:val="single" w:sz="6" w:space="0" w:color="auto"/>
              <w:bottom w:val="single" w:sz="6" w:space="0" w:color="auto"/>
              <w:right w:val="single" w:sz="6" w:space="0" w:color="auto"/>
            </w:tcBorders>
            <w:vAlign w:val="center"/>
          </w:tcPr>
          <w:p w14:paraId="1702B3E8" w14:textId="77777777" w:rsidR="00497BCB" w:rsidRPr="0055006A" w:rsidRDefault="00497BCB" w:rsidP="0055006A">
            <w:pPr>
              <w:pStyle w:val="Tabletext"/>
              <w:suppressAutoHyphens/>
            </w:pPr>
            <w:r w:rsidRPr="0055006A">
              <w:t>Navigational error</w:t>
            </w:r>
          </w:p>
        </w:tc>
        <w:tc>
          <w:tcPr>
            <w:tcW w:w="2389" w:type="dxa"/>
            <w:tcBorders>
              <w:top w:val="single" w:sz="6" w:space="0" w:color="auto"/>
              <w:left w:val="single" w:sz="6" w:space="0" w:color="auto"/>
              <w:bottom w:val="single" w:sz="6" w:space="0" w:color="auto"/>
              <w:right w:val="single" w:sz="12" w:space="0" w:color="auto"/>
            </w:tcBorders>
            <w:vAlign w:val="center"/>
          </w:tcPr>
          <w:p w14:paraId="5DBC966F" w14:textId="77777777" w:rsidR="00497BCB" w:rsidRPr="0055006A" w:rsidRDefault="00497BCB" w:rsidP="0055006A">
            <w:pPr>
              <w:pStyle w:val="Tabletext"/>
              <w:suppressAutoHyphens/>
            </w:pPr>
            <w:r w:rsidRPr="0055006A">
              <w:t>Ramming opportunity</w:t>
            </w:r>
          </w:p>
        </w:tc>
      </w:tr>
      <w:tr w:rsidR="00497BCB" w:rsidRPr="002067ED" w14:paraId="5AA039FF" w14:textId="77777777" w:rsidTr="0055006A">
        <w:trPr>
          <w:trHeight w:val="284"/>
        </w:trPr>
        <w:tc>
          <w:tcPr>
            <w:tcW w:w="1835" w:type="dxa"/>
            <w:tcBorders>
              <w:top w:val="single" w:sz="12" w:space="0" w:color="auto"/>
              <w:left w:val="single" w:sz="12" w:space="0" w:color="auto"/>
              <w:bottom w:val="single" w:sz="12" w:space="0" w:color="auto"/>
              <w:right w:val="single" w:sz="6" w:space="0" w:color="auto"/>
            </w:tcBorders>
            <w:vAlign w:val="center"/>
          </w:tcPr>
          <w:p w14:paraId="141202A6" w14:textId="77777777" w:rsidR="00497BCB" w:rsidRPr="0055006A" w:rsidRDefault="00497BCB" w:rsidP="0055006A">
            <w:pPr>
              <w:pStyle w:val="Tabletext"/>
              <w:suppressAutoHyphens/>
            </w:pPr>
            <w:r w:rsidRPr="0055006A">
              <w:t>Sinking</w:t>
            </w:r>
          </w:p>
        </w:tc>
        <w:tc>
          <w:tcPr>
            <w:tcW w:w="3832" w:type="dxa"/>
            <w:tcBorders>
              <w:top w:val="single" w:sz="12" w:space="0" w:color="auto"/>
              <w:left w:val="single" w:sz="6" w:space="0" w:color="auto"/>
              <w:bottom w:val="single" w:sz="12" w:space="0" w:color="auto"/>
              <w:right w:val="single" w:sz="6" w:space="0" w:color="auto"/>
            </w:tcBorders>
            <w:vAlign w:val="center"/>
          </w:tcPr>
          <w:p w14:paraId="11FC4577" w14:textId="77777777" w:rsidR="00497BCB" w:rsidRPr="0055006A" w:rsidRDefault="00497BCB" w:rsidP="0055006A">
            <w:pPr>
              <w:pStyle w:val="Tabletext"/>
              <w:suppressAutoHyphens/>
            </w:pPr>
          </w:p>
        </w:tc>
        <w:tc>
          <w:tcPr>
            <w:tcW w:w="1701" w:type="dxa"/>
            <w:tcBorders>
              <w:top w:val="single" w:sz="12" w:space="0" w:color="auto"/>
              <w:left w:val="single" w:sz="6" w:space="0" w:color="auto"/>
              <w:bottom w:val="single" w:sz="12" w:space="0" w:color="auto"/>
              <w:right w:val="single" w:sz="6" w:space="0" w:color="auto"/>
            </w:tcBorders>
            <w:vAlign w:val="center"/>
          </w:tcPr>
          <w:p w14:paraId="1601B1B0" w14:textId="77777777" w:rsidR="00497BCB" w:rsidRPr="0055006A" w:rsidRDefault="00497BCB" w:rsidP="0055006A">
            <w:pPr>
              <w:pStyle w:val="Tabletext"/>
              <w:suppressAutoHyphens/>
            </w:pPr>
          </w:p>
        </w:tc>
        <w:tc>
          <w:tcPr>
            <w:tcW w:w="2389" w:type="dxa"/>
            <w:tcBorders>
              <w:top w:val="single" w:sz="12" w:space="0" w:color="auto"/>
              <w:left w:val="single" w:sz="6" w:space="0" w:color="auto"/>
              <w:bottom w:val="single" w:sz="12" w:space="0" w:color="auto"/>
              <w:right w:val="single" w:sz="12" w:space="0" w:color="auto"/>
            </w:tcBorders>
            <w:vAlign w:val="center"/>
          </w:tcPr>
          <w:p w14:paraId="5A0A5D0A" w14:textId="77777777" w:rsidR="00497BCB" w:rsidRPr="0055006A" w:rsidRDefault="00497BCB" w:rsidP="0055006A">
            <w:pPr>
              <w:pStyle w:val="Tabletext"/>
              <w:suppressAutoHyphens/>
            </w:pPr>
            <w:r w:rsidRPr="0055006A">
              <w:t>Ship miles</w:t>
            </w:r>
          </w:p>
        </w:tc>
      </w:tr>
      <w:tr w:rsidR="00497BCB" w:rsidRPr="002067ED" w14:paraId="5198CBA5" w14:textId="77777777" w:rsidTr="0055006A">
        <w:trPr>
          <w:trHeight w:val="284"/>
        </w:trPr>
        <w:tc>
          <w:tcPr>
            <w:tcW w:w="1835" w:type="dxa"/>
            <w:tcBorders>
              <w:top w:val="single" w:sz="12" w:space="0" w:color="auto"/>
              <w:left w:val="single" w:sz="12" w:space="0" w:color="auto"/>
              <w:bottom w:val="single" w:sz="12" w:space="0" w:color="auto"/>
              <w:right w:val="single" w:sz="6" w:space="0" w:color="auto"/>
            </w:tcBorders>
            <w:vAlign w:val="center"/>
          </w:tcPr>
          <w:p w14:paraId="4FDDE505" w14:textId="77777777" w:rsidR="00497BCB" w:rsidRPr="0055006A" w:rsidRDefault="00497BCB" w:rsidP="0055006A">
            <w:pPr>
              <w:pStyle w:val="Tabletext"/>
              <w:suppressAutoHyphens/>
            </w:pPr>
            <w:r w:rsidRPr="0055006A">
              <w:t>Fire and Explosion</w:t>
            </w:r>
          </w:p>
        </w:tc>
        <w:tc>
          <w:tcPr>
            <w:tcW w:w="3832" w:type="dxa"/>
            <w:tcBorders>
              <w:top w:val="single" w:sz="12" w:space="0" w:color="auto"/>
              <w:left w:val="single" w:sz="6" w:space="0" w:color="auto"/>
              <w:bottom w:val="nil"/>
              <w:right w:val="single" w:sz="6" w:space="0" w:color="auto"/>
            </w:tcBorders>
            <w:vAlign w:val="center"/>
          </w:tcPr>
          <w:p w14:paraId="0EA7D48D" w14:textId="77777777" w:rsidR="00497BCB" w:rsidRPr="0055006A" w:rsidRDefault="00497BCB" w:rsidP="0055006A">
            <w:pPr>
              <w:pStyle w:val="Tabletext"/>
              <w:suppressAutoHyphens/>
            </w:pPr>
          </w:p>
        </w:tc>
        <w:tc>
          <w:tcPr>
            <w:tcW w:w="1701" w:type="dxa"/>
            <w:tcBorders>
              <w:top w:val="single" w:sz="12" w:space="0" w:color="auto"/>
              <w:left w:val="single" w:sz="6" w:space="0" w:color="auto"/>
              <w:bottom w:val="nil"/>
              <w:right w:val="single" w:sz="6" w:space="0" w:color="auto"/>
            </w:tcBorders>
            <w:vAlign w:val="center"/>
          </w:tcPr>
          <w:p w14:paraId="5791CFA2" w14:textId="77777777" w:rsidR="00497BCB" w:rsidRPr="0055006A" w:rsidRDefault="00497BCB" w:rsidP="0055006A">
            <w:pPr>
              <w:pStyle w:val="Tabletext"/>
              <w:suppressAutoHyphens/>
            </w:pPr>
          </w:p>
        </w:tc>
        <w:tc>
          <w:tcPr>
            <w:tcW w:w="2389" w:type="dxa"/>
            <w:tcBorders>
              <w:top w:val="single" w:sz="12" w:space="0" w:color="auto"/>
              <w:left w:val="single" w:sz="6" w:space="0" w:color="auto"/>
              <w:bottom w:val="nil"/>
              <w:right w:val="single" w:sz="12" w:space="0" w:color="auto"/>
            </w:tcBorders>
            <w:vAlign w:val="center"/>
          </w:tcPr>
          <w:p w14:paraId="0FD74C5A" w14:textId="77777777" w:rsidR="00497BCB" w:rsidRPr="0055006A" w:rsidRDefault="00497BCB" w:rsidP="0055006A">
            <w:pPr>
              <w:pStyle w:val="Tabletext"/>
              <w:suppressAutoHyphens/>
            </w:pPr>
            <w:r w:rsidRPr="0055006A">
              <w:t>Ship miles</w:t>
            </w:r>
          </w:p>
        </w:tc>
      </w:tr>
      <w:tr w:rsidR="00497BCB" w:rsidRPr="002067ED" w14:paraId="716A492C" w14:textId="77777777" w:rsidTr="0055006A">
        <w:trPr>
          <w:trHeight w:val="284"/>
        </w:trPr>
        <w:tc>
          <w:tcPr>
            <w:tcW w:w="1835" w:type="dxa"/>
            <w:tcBorders>
              <w:top w:val="single" w:sz="12" w:space="0" w:color="auto"/>
              <w:left w:val="single" w:sz="12" w:space="0" w:color="auto"/>
              <w:bottom w:val="nil"/>
              <w:right w:val="single" w:sz="6" w:space="0" w:color="auto"/>
            </w:tcBorders>
            <w:vAlign w:val="center"/>
          </w:tcPr>
          <w:p w14:paraId="6DC9668F" w14:textId="77777777" w:rsidR="00497BCB" w:rsidRPr="0055006A" w:rsidRDefault="00497BCB" w:rsidP="0055006A">
            <w:pPr>
              <w:pStyle w:val="Tabletext"/>
              <w:suppressAutoHyphens/>
            </w:pPr>
            <w:r w:rsidRPr="0055006A">
              <w:t>Stranding</w:t>
            </w:r>
          </w:p>
        </w:tc>
        <w:tc>
          <w:tcPr>
            <w:tcW w:w="3832" w:type="dxa"/>
            <w:tcBorders>
              <w:top w:val="single" w:sz="12" w:space="0" w:color="auto"/>
              <w:left w:val="single" w:sz="6" w:space="0" w:color="auto"/>
              <w:bottom w:val="single" w:sz="6" w:space="0" w:color="auto"/>
              <w:right w:val="single" w:sz="6" w:space="0" w:color="auto"/>
            </w:tcBorders>
            <w:vAlign w:val="center"/>
          </w:tcPr>
          <w:p w14:paraId="6270722F" w14:textId="77777777" w:rsidR="00497BCB" w:rsidRPr="0055006A" w:rsidRDefault="00497BCB" w:rsidP="0055006A">
            <w:pPr>
              <w:pStyle w:val="Tabletext"/>
              <w:suppressAutoHyphens/>
            </w:pPr>
          </w:p>
        </w:tc>
        <w:tc>
          <w:tcPr>
            <w:tcW w:w="1701" w:type="dxa"/>
            <w:tcBorders>
              <w:top w:val="single" w:sz="12" w:space="0" w:color="auto"/>
              <w:left w:val="single" w:sz="6" w:space="0" w:color="auto"/>
              <w:bottom w:val="single" w:sz="6" w:space="0" w:color="auto"/>
              <w:right w:val="single" w:sz="6" w:space="0" w:color="auto"/>
            </w:tcBorders>
            <w:vAlign w:val="center"/>
          </w:tcPr>
          <w:p w14:paraId="0ED96731" w14:textId="77777777" w:rsidR="00497BCB" w:rsidRPr="0055006A" w:rsidRDefault="00497BCB" w:rsidP="0055006A">
            <w:pPr>
              <w:pStyle w:val="Tabletext"/>
              <w:suppressAutoHyphens/>
            </w:pPr>
            <w:r w:rsidRPr="0055006A">
              <w:t>Engine failure</w:t>
            </w:r>
          </w:p>
        </w:tc>
        <w:tc>
          <w:tcPr>
            <w:tcW w:w="2389" w:type="dxa"/>
            <w:tcBorders>
              <w:top w:val="single" w:sz="12" w:space="0" w:color="auto"/>
              <w:left w:val="single" w:sz="6" w:space="0" w:color="auto"/>
              <w:bottom w:val="single" w:sz="6" w:space="0" w:color="auto"/>
              <w:right w:val="single" w:sz="12" w:space="0" w:color="auto"/>
            </w:tcBorders>
            <w:vAlign w:val="center"/>
          </w:tcPr>
          <w:p w14:paraId="45588EC7" w14:textId="77777777" w:rsidR="00497BCB" w:rsidRPr="0055006A" w:rsidRDefault="00497BCB" w:rsidP="0055006A">
            <w:pPr>
              <w:pStyle w:val="Tabletext"/>
              <w:suppressAutoHyphens/>
            </w:pPr>
            <w:r w:rsidRPr="0055006A">
              <w:t>Danger miles</w:t>
            </w:r>
          </w:p>
        </w:tc>
      </w:tr>
      <w:tr w:rsidR="00497BCB" w:rsidRPr="002067ED" w14:paraId="0FF4B7B1" w14:textId="77777777" w:rsidTr="0055006A">
        <w:trPr>
          <w:trHeight w:val="284"/>
        </w:trPr>
        <w:tc>
          <w:tcPr>
            <w:tcW w:w="1835" w:type="dxa"/>
            <w:tcBorders>
              <w:top w:val="nil"/>
              <w:left w:val="single" w:sz="12" w:space="0" w:color="auto"/>
              <w:bottom w:val="single" w:sz="12" w:space="0" w:color="auto"/>
              <w:right w:val="single" w:sz="6" w:space="0" w:color="auto"/>
            </w:tcBorders>
            <w:vAlign w:val="center"/>
          </w:tcPr>
          <w:p w14:paraId="158617DF" w14:textId="77777777" w:rsidR="00497BCB" w:rsidRPr="0055006A" w:rsidRDefault="00497BCB" w:rsidP="0055006A">
            <w:pPr>
              <w:pStyle w:val="Tabletext"/>
              <w:suppressAutoHyphens/>
            </w:pPr>
          </w:p>
        </w:tc>
        <w:tc>
          <w:tcPr>
            <w:tcW w:w="3832" w:type="dxa"/>
            <w:tcBorders>
              <w:top w:val="single" w:sz="6" w:space="0" w:color="auto"/>
              <w:left w:val="single" w:sz="6" w:space="0" w:color="auto"/>
              <w:bottom w:val="nil"/>
              <w:right w:val="single" w:sz="6" w:space="0" w:color="auto"/>
            </w:tcBorders>
            <w:vAlign w:val="center"/>
          </w:tcPr>
          <w:p w14:paraId="544E754A" w14:textId="77777777" w:rsidR="00497BCB" w:rsidRPr="0055006A" w:rsidRDefault="00497BCB" w:rsidP="0055006A">
            <w:pPr>
              <w:pStyle w:val="Tabletext"/>
              <w:suppressAutoHyphens/>
            </w:pPr>
          </w:p>
        </w:tc>
        <w:tc>
          <w:tcPr>
            <w:tcW w:w="1701" w:type="dxa"/>
            <w:tcBorders>
              <w:top w:val="single" w:sz="6" w:space="0" w:color="auto"/>
              <w:left w:val="single" w:sz="6" w:space="0" w:color="auto"/>
              <w:bottom w:val="nil"/>
              <w:right w:val="single" w:sz="6" w:space="0" w:color="auto"/>
            </w:tcBorders>
            <w:vAlign w:val="center"/>
          </w:tcPr>
          <w:p w14:paraId="60F68953" w14:textId="77777777" w:rsidR="00497BCB" w:rsidRPr="0055006A" w:rsidRDefault="00497BCB" w:rsidP="0055006A">
            <w:pPr>
              <w:pStyle w:val="Tabletext"/>
              <w:suppressAutoHyphens/>
            </w:pPr>
            <w:r w:rsidRPr="0055006A">
              <w:t>Navigational error</w:t>
            </w:r>
          </w:p>
        </w:tc>
        <w:tc>
          <w:tcPr>
            <w:tcW w:w="2389" w:type="dxa"/>
            <w:tcBorders>
              <w:top w:val="single" w:sz="6" w:space="0" w:color="auto"/>
              <w:left w:val="single" w:sz="6" w:space="0" w:color="auto"/>
              <w:bottom w:val="nil"/>
              <w:right w:val="single" w:sz="12" w:space="0" w:color="auto"/>
            </w:tcBorders>
            <w:vAlign w:val="center"/>
          </w:tcPr>
          <w:p w14:paraId="6CFF0F24" w14:textId="77777777" w:rsidR="00497BCB" w:rsidRPr="0055006A" w:rsidRDefault="00497BCB" w:rsidP="0055006A">
            <w:pPr>
              <w:pStyle w:val="Tabletext"/>
              <w:suppressAutoHyphens/>
            </w:pPr>
            <w:r w:rsidRPr="0055006A">
              <w:t>Stranding opportunity</w:t>
            </w:r>
          </w:p>
        </w:tc>
      </w:tr>
      <w:tr w:rsidR="00497BCB" w:rsidRPr="002067ED" w14:paraId="35095F5C" w14:textId="77777777" w:rsidTr="0055006A">
        <w:trPr>
          <w:trHeight w:val="284"/>
        </w:trPr>
        <w:tc>
          <w:tcPr>
            <w:tcW w:w="1835" w:type="dxa"/>
            <w:tcBorders>
              <w:top w:val="single" w:sz="12" w:space="0" w:color="auto"/>
              <w:left w:val="single" w:sz="12" w:space="0" w:color="auto"/>
              <w:bottom w:val="single" w:sz="12" w:space="0" w:color="auto"/>
              <w:right w:val="single" w:sz="6" w:space="0" w:color="auto"/>
            </w:tcBorders>
            <w:vAlign w:val="center"/>
          </w:tcPr>
          <w:p w14:paraId="3A37AC16" w14:textId="77777777" w:rsidR="00497BCB" w:rsidRPr="0055006A" w:rsidRDefault="00497BCB" w:rsidP="0055006A">
            <w:pPr>
              <w:pStyle w:val="Tabletext"/>
              <w:suppressAutoHyphens/>
            </w:pPr>
            <w:r w:rsidRPr="0055006A">
              <w:t>Incident Hull/Machinery</w:t>
            </w:r>
          </w:p>
        </w:tc>
        <w:tc>
          <w:tcPr>
            <w:tcW w:w="3832" w:type="dxa"/>
            <w:tcBorders>
              <w:top w:val="single" w:sz="12" w:space="0" w:color="auto"/>
              <w:left w:val="single" w:sz="6" w:space="0" w:color="auto"/>
              <w:bottom w:val="single" w:sz="12" w:space="0" w:color="auto"/>
              <w:right w:val="single" w:sz="6" w:space="0" w:color="auto"/>
            </w:tcBorders>
            <w:vAlign w:val="center"/>
          </w:tcPr>
          <w:p w14:paraId="04D196F8" w14:textId="77777777" w:rsidR="00497BCB" w:rsidRPr="0055006A" w:rsidRDefault="00497BCB" w:rsidP="0055006A">
            <w:pPr>
              <w:pStyle w:val="Tabletext"/>
              <w:suppressAutoHyphens/>
            </w:pPr>
          </w:p>
        </w:tc>
        <w:tc>
          <w:tcPr>
            <w:tcW w:w="1701" w:type="dxa"/>
            <w:tcBorders>
              <w:top w:val="single" w:sz="12" w:space="0" w:color="auto"/>
              <w:left w:val="single" w:sz="6" w:space="0" w:color="auto"/>
              <w:bottom w:val="single" w:sz="12" w:space="0" w:color="auto"/>
              <w:right w:val="single" w:sz="6" w:space="0" w:color="auto"/>
            </w:tcBorders>
            <w:vAlign w:val="center"/>
          </w:tcPr>
          <w:p w14:paraId="77996CCD" w14:textId="77777777" w:rsidR="00497BCB" w:rsidRPr="0055006A" w:rsidRDefault="00497BCB" w:rsidP="0055006A">
            <w:pPr>
              <w:pStyle w:val="Tabletext"/>
              <w:suppressAutoHyphens/>
            </w:pPr>
          </w:p>
        </w:tc>
        <w:tc>
          <w:tcPr>
            <w:tcW w:w="2389" w:type="dxa"/>
            <w:tcBorders>
              <w:top w:val="single" w:sz="12" w:space="0" w:color="auto"/>
              <w:left w:val="single" w:sz="6" w:space="0" w:color="auto"/>
              <w:bottom w:val="single" w:sz="12" w:space="0" w:color="auto"/>
              <w:right w:val="single" w:sz="12" w:space="0" w:color="auto"/>
            </w:tcBorders>
            <w:vAlign w:val="center"/>
          </w:tcPr>
          <w:p w14:paraId="53EFE3F7" w14:textId="77777777" w:rsidR="00497BCB" w:rsidRPr="0055006A" w:rsidRDefault="00497BCB" w:rsidP="0055006A">
            <w:pPr>
              <w:pStyle w:val="Tabletext"/>
              <w:suppressAutoHyphens/>
            </w:pPr>
            <w:r w:rsidRPr="0055006A">
              <w:t>Ship Miles</w:t>
            </w:r>
          </w:p>
        </w:tc>
      </w:tr>
    </w:tbl>
    <w:p w14:paraId="439C2417" w14:textId="77777777" w:rsidR="00497BCB" w:rsidRPr="002067ED" w:rsidRDefault="00497BCB" w:rsidP="00497BCB"/>
    <w:p w14:paraId="58214DC3" w14:textId="77777777" w:rsidR="00497BCB" w:rsidRPr="002067ED" w:rsidRDefault="00497BCB" w:rsidP="00497BCB">
      <w:pPr>
        <w:spacing w:line="240" w:lineRule="auto"/>
        <w:rPr>
          <w:rFonts w:cs="Arial"/>
        </w:rPr>
      </w:pPr>
    </w:p>
    <w:p w14:paraId="10B10FA7" w14:textId="77777777" w:rsidR="00497BCB" w:rsidRPr="002067ED" w:rsidRDefault="00497BCB" w:rsidP="007A2C9A">
      <w:pPr>
        <w:spacing w:line="240" w:lineRule="auto"/>
        <w:jc w:val="center"/>
        <w:rPr>
          <w:rFonts w:cs="Arial"/>
        </w:rPr>
      </w:pPr>
      <w:r w:rsidRPr="002067ED">
        <w:rPr>
          <w:noProof/>
        </w:rPr>
        <w:lastRenderedPageBreak/>
        <w:drawing>
          <wp:inline distT="0" distB="0" distL="0" distR="0" wp14:anchorId="17DC1AB3" wp14:editId="71F900E4">
            <wp:extent cx="5867400" cy="5114925"/>
            <wp:effectExtent l="0" t="0" r="0" b="0"/>
            <wp:docPr id="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r="23901"/>
                    <a:stretch>
                      <a:fillRect/>
                    </a:stretch>
                  </pic:blipFill>
                  <pic:spPr bwMode="auto">
                    <a:xfrm>
                      <a:off x="0" y="0"/>
                      <a:ext cx="5867400" cy="5114925"/>
                    </a:xfrm>
                    <a:prstGeom prst="rect">
                      <a:avLst/>
                    </a:prstGeom>
                    <a:noFill/>
                    <a:ln w="9525">
                      <a:noFill/>
                      <a:miter lim="800000"/>
                      <a:headEnd/>
                      <a:tailEnd/>
                    </a:ln>
                  </pic:spPr>
                </pic:pic>
              </a:graphicData>
            </a:graphic>
          </wp:inline>
        </w:drawing>
      </w:r>
    </w:p>
    <w:p w14:paraId="73B23D07" w14:textId="60EE0D17" w:rsidR="00497BCB" w:rsidRPr="002067ED" w:rsidRDefault="00497BCB" w:rsidP="007A2C9A">
      <w:pPr>
        <w:pStyle w:val="AnnexFigureCaption"/>
        <w:numPr>
          <w:ilvl w:val="0"/>
          <w:numId w:val="0"/>
        </w:numPr>
        <w:ind w:left="992"/>
      </w:pPr>
      <w:bookmarkStart w:id="13" w:name="_Ref226533642"/>
      <w:r w:rsidRPr="002067ED">
        <w:t>Figure A-</w:t>
      </w:r>
      <w:fldSimple w:instr=" SEQ Figure_A- \* ARABIC ">
        <w:r w:rsidR="00421B79">
          <w:rPr>
            <w:noProof/>
          </w:rPr>
          <w:t>1</w:t>
        </w:r>
      </w:fldSimple>
      <w:bookmarkEnd w:id="13"/>
      <w:r w:rsidRPr="002067ED">
        <w:t xml:space="preserve"> System diagram SAMSON</w:t>
      </w:r>
    </w:p>
    <w:p w14:paraId="1FC4E7A9" w14:textId="77777777" w:rsidR="004D1D85" w:rsidRDefault="004D1D85" w:rsidP="004D1D85">
      <w:pPr>
        <w:pStyle w:val="BodyText"/>
        <w:rPr>
          <w:rFonts w:ascii="Calibri" w:hAnsi="Calibri"/>
        </w:rPr>
      </w:pPr>
    </w:p>
    <w:sectPr w:rsidR="004D1D85"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687F" w14:textId="77777777" w:rsidR="00805627" w:rsidRDefault="00805627" w:rsidP="00362CD9">
      <w:r>
        <w:separator/>
      </w:r>
    </w:p>
  </w:endnote>
  <w:endnote w:type="continuationSeparator" w:id="0">
    <w:p w14:paraId="39B90E25" w14:textId="77777777" w:rsidR="00805627" w:rsidRDefault="0080562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FBB5237" w:rsidR="004533B7" w:rsidRPr="00C907DF" w:rsidRDefault="00D12CDB" w:rsidP="004533B7">
    <w:pPr>
      <w:pStyle w:val="Footerportrait"/>
    </w:pPr>
    <w:fldSimple w:instr=" STYLEREF  Title  \* MERGEFORMAT ">
      <w:r w:rsidR="0070680D">
        <w:t>Modernisation Safety Assessment model SAMSON</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5ADF5AEC" w:rsidR="00637047" w:rsidRPr="00C907DF" w:rsidRDefault="00D12CDB" w:rsidP="00637047">
    <w:pPr>
      <w:pStyle w:val="Footerportrait"/>
    </w:pPr>
    <w:fldSimple w:instr=" STYLEREF  Title  \* MERGEFORMAT ">
      <w:r w:rsidR="00480A7D">
        <w:t>Modernisation Safety Assessment model SAMSON</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DD3E" w14:textId="77777777" w:rsidR="00805627" w:rsidRDefault="00805627" w:rsidP="00362CD9">
      <w:r>
        <w:separator/>
      </w:r>
    </w:p>
  </w:footnote>
  <w:footnote w:type="continuationSeparator" w:id="0">
    <w:p w14:paraId="294D5A84" w14:textId="77777777" w:rsidR="00805627" w:rsidRDefault="00805627"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1943634619" name="Picture 1943634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1130514869" name="Picture 1130514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9E30CC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5E81888"/>
    <w:multiLevelType w:val="hybridMultilevel"/>
    <w:tmpl w:val="9B048D6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4B7286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4130298"/>
    <w:multiLevelType w:val="hybridMultilevel"/>
    <w:tmpl w:val="5030A6CA"/>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0" w15:restartNumberingAfterBreak="0">
    <w:nsid w:val="363958B2"/>
    <w:multiLevelType w:val="multilevel"/>
    <w:tmpl w:val="C7FE1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0412EC7"/>
    <w:multiLevelType w:val="hybridMultilevel"/>
    <w:tmpl w:val="173E1424"/>
    <w:lvl w:ilvl="0" w:tplc="76B44A2E">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0"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1" w15:restartNumberingAfterBreak="0">
    <w:nsid w:val="4A927526"/>
    <w:multiLevelType w:val="singleLevel"/>
    <w:tmpl w:val="06A433AC"/>
    <w:lvl w:ilvl="0">
      <w:numFmt w:val="bullet"/>
      <w:lvlText w:val="-"/>
      <w:lvlJc w:val="left"/>
      <w:pPr>
        <w:tabs>
          <w:tab w:val="num" w:pos="720"/>
        </w:tabs>
        <w:ind w:left="720" w:hanging="720"/>
      </w:pPr>
      <w:rPr>
        <w:rFonts w:ascii="Times New Roman" w:hAnsi="Times New Roman" w:hint="default"/>
      </w:rPr>
    </w:lvl>
  </w:abstractNum>
  <w:abstractNum w:abstractNumId="42"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D44779E"/>
    <w:multiLevelType w:val="hybridMultilevel"/>
    <w:tmpl w:val="84202E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8" w15:restartNumberingAfterBreak="0">
    <w:nsid w:val="5AA65B08"/>
    <w:multiLevelType w:val="hybridMultilevel"/>
    <w:tmpl w:val="0BFC2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F369B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5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6" w15:restartNumberingAfterBreak="0">
    <w:nsid w:val="745A6837"/>
    <w:multiLevelType w:val="hybridMultilevel"/>
    <w:tmpl w:val="AF62BF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6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20"/>
  </w:num>
  <w:num w:numId="4" w16cid:durableId="128744143">
    <w:abstractNumId w:val="50"/>
  </w:num>
  <w:num w:numId="5" w16cid:durableId="608465186">
    <w:abstractNumId w:val="37"/>
  </w:num>
  <w:num w:numId="6" w16cid:durableId="464274310">
    <w:abstractNumId w:val="12"/>
  </w:num>
  <w:num w:numId="7" w16cid:durableId="1189950591">
    <w:abstractNumId w:val="54"/>
  </w:num>
  <w:num w:numId="8" w16cid:durableId="1782140707">
    <w:abstractNumId w:val="31"/>
  </w:num>
  <w:num w:numId="9" w16cid:durableId="535049773">
    <w:abstractNumId w:val="23"/>
  </w:num>
  <w:num w:numId="10" w16cid:durableId="1991129612">
    <w:abstractNumId w:val="42"/>
  </w:num>
  <w:num w:numId="11" w16cid:durableId="172032115">
    <w:abstractNumId w:val="40"/>
  </w:num>
  <w:num w:numId="12" w16cid:durableId="283928608">
    <w:abstractNumId w:val="36"/>
  </w:num>
  <w:num w:numId="13" w16cid:durableId="1136068344">
    <w:abstractNumId w:val="52"/>
  </w:num>
  <w:num w:numId="14" w16cid:durableId="836044485">
    <w:abstractNumId w:val="18"/>
  </w:num>
  <w:num w:numId="15" w16cid:durableId="1973170037">
    <w:abstractNumId w:val="59"/>
  </w:num>
  <w:num w:numId="16" w16cid:durableId="583344743">
    <w:abstractNumId w:val="35"/>
  </w:num>
  <w:num w:numId="17" w16cid:durableId="1826819720">
    <w:abstractNumId w:val="19"/>
  </w:num>
  <w:num w:numId="18" w16cid:durableId="1288589041">
    <w:abstractNumId w:val="46"/>
  </w:num>
  <w:num w:numId="19" w16cid:durableId="1298729279">
    <w:abstractNumId w:val="35"/>
  </w:num>
  <w:num w:numId="20" w16cid:durableId="222765610">
    <w:abstractNumId w:val="35"/>
  </w:num>
  <w:num w:numId="21" w16cid:durableId="2043892978">
    <w:abstractNumId w:val="35"/>
  </w:num>
  <w:num w:numId="22" w16cid:durableId="22442958">
    <w:abstractNumId w:val="35"/>
  </w:num>
  <w:num w:numId="23" w16cid:durableId="326136287">
    <w:abstractNumId w:val="47"/>
  </w:num>
  <w:num w:numId="24" w16cid:durableId="879126904">
    <w:abstractNumId w:val="10"/>
  </w:num>
  <w:num w:numId="25" w16cid:durableId="198784432">
    <w:abstractNumId w:val="10"/>
  </w:num>
  <w:num w:numId="26" w16cid:durableId="1793086082">
    <w:abstractNumId w:val="10"/>
  </w:num>
  <w:num w:numId="27" w16cid:durableId="242422396">
    <w:abstractNumId w:val="25"/>
  </w:num>
  <w:num w:numId="28" w16cid:durableId="303579958">
    <w:abstractNumId w:val="25"/>
  </w:num>
  <w:num w:numId="29" w16cid:durableId="1803647004">
    <w:abstractNumId w:val="25"/>
  </w:num>
  <w:num w:numId="30" w16cid:durableId="225920840">
    <w:abstractNumId w:val="25"/>
  </w:num>
  <w:num w:numId="31" w16cid:durableId="675494771">
    <w:abstractNumId w:val="25"/>
  </w:num>
  <w:num w:numId="32" w16cid:durableId="1786805603">
    <w:abstractNumId w:val="25"/>
  </w:num>
  <w:num w:numId="33" w16cid:durableId="1796288016">
    <w:abstractNumId w:val="44"/>
  </w:num>
  <w:num w:numId="34" w16cid:durableId="1923106185">
    <w:abstractNumId w:val="44"/>
  </w:num>
  <w:num w:numId="35" w16cid:durableId="1980181163">
    <w:abstractNumId w:val="44"/>
  </w:num>
  <w:num w:numId="36" w16cid:durableId="589242074">
    <w:abstractNumId w:val="32"/>
  </w:num>
  <w:num w:numId="37" w16cid:durableId="611405404">
    <w:abstractNumId w:val="18"/>
  </w:num>
  <w:num w:numId="38" w16cid:durableId="1417749718">
    <w:abstractNumId w:val="36"/>
  </w:num>
  <w:num w:numId="39" w16cid:durableId="1116218742">
    <w:abstractNumId w:val="35"/>
  </w:num>
  <w:num w:numId="40" w16cid:durableId="15286398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34"/>
  </w:num>
  <w:num w:numId="45" w16cid:durableId="557088546">
    <w:abstractNumId w:val="38"/>
  </w:num>
  <w:num w:numId="46" w16cid:durableId="2058578189">
    <w:abstractNumId w:val="60"/>
  </w:num>
  <w:num w:numId="47" w16cid:durableId="1025714407">
    <w:abstractNumId w:val="14"/>
  </w:num>
  <w:num w:numId="48" w16cid:durableId="1516263518">
    <w:abstractNumId w:val="24"/>
  </w:num>
  <w:num w:numId="49" w16cid:durableId="1874733741">
    <w:abstractNumId w:val="16"/>
  </w:num>
  <w:num w:numId="50" w16cid:durableId="754859345">
    <w:abstractNumId w:val="13"/>
  </w:num>
  <w:num w:numId="51" w16cid:durableId="1256400017">
    <w:abstractNumId w:val="21"/>
  </w:num>
  <w:num w:numId="52" w16cid:durableId="128868047">
    <w:abstractNumId w:val="53"/>
  </w:num>
  <w:num w:numId="53" w16cid:durableId="1952282389">
    <w:abstractNumId w:val="57"/>
  </w:num>
  <w:num w:numId="54" w16cid:durableId="325910954">
    <w:abstractNumId w:val="17"/>
  </w:num>
  <w:num w:numId="55" w16cid:durableId="1093041952">
    <w:abstractNumId w:val="58"/>
  </w:num>
  <w:num w:numId="56" w16cid:durableId="1702247746">
    <w:abstractNumId w:val="49"/>
  </w:num>
  <w:num w:numId="57" w16cid:durableId="1151944309">
    <w:abstractNumId w:val="28"/>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45"/>
  </w:num>
  <w:num w:numId="66" w16cid:durableId="885992133">
    <w:abstractNumId w:val="55"/>
  </w:num>
  <w:num w:numId="67" w16cid:durableId="1411384646">
    <w:abstractNumId w:val="27"/>
  </w:num>
  <w:num w:numId="68" w16cid:durableId="15496870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6"/>
  </w:num>
  <w:num w:numId="70" w16cid:durableId="1891913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9"/>
  </w:num>
  <w:num w:numId="73" w16cid:durableId="19792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75350444">
    <w:abstractNumId w:val="30"/>
  </w:num>
  <w:num w:numId="75" w16cid:durableId="708339843">
    <w:abstractNumId w:val="29"/>
  </w:num>
  <w:num w:numId="76" w16cid:durableId="1425496697">
    <w:abstractNumId w:val="41"/>
  </w:num>
  <w:num w:numId="77" w16cid:durableId="109322286">
    <w:abstractNumId w:val="11"/>
  </w:num>
  <w:num w:numId="78" w16cid:durableId="1000934605">
    <w:abstractNumId w:val="51"/>
  </w:num>
  <w:num w:numId="79" w16cid:durableId="1077823079">
    <w:abstractNumId w:val="22"/>
  </w:num>
  <w:num w:numId="80" w16cid:durableId="1690446547">
    <w:abstractNumId w:val="48"/>
  </w:num>
  <w:num w:numId="81" w16cid:durableId="512913509">
    <w:abstractNumId w:val="15"/>
  </w:num>
  <w:num w:numId="82" w16cid:durableId="907154365">
    <w:abstractNumId w:val="56"/>
  </w:num>
  <w:num w:numId="83" w16cid:durableId="1087724718">
    <w:abstractNumId w:val="21"/>
  </w:num>
  <w:num w:numId="84" w16cid:durableId="957487341">
    <w:abstractNumId w:val="33"/>
  </w:num>
  <w:num w:numId="85" w16cid:durableId="1425035861">
    <w:abstractNumId w:val="4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2D30"/>
    <w:rsid w:val="00036B9E"/>
    <w:rsid w:val="00037DF4"/>
    <w:rsid w:val="00046524"/>
    <w:rsid w:val="0004700E"/>
    <w:rsid w:val="00057FCA"/>
    <w:rsid w:val="00070C13"/>
    <w:rsid w:val="000715C9"/>
    <w:rsid w:val="000716FD"/>
    <w:rsid w:val="000829C6"/>
    <w:rsid w:val="00084F33"/>
    <w:rsid w:val="00086070"/>
    <w:rsid w:val="000955F7"/>
    <w:rsid w:val="000A1895"/>
    <w:rsid w:val="000A5E9E"/>
    <w:rsid w:val="000A77A7"/>
    <w:rsid w:val="000B1707"/>
    <w:rsid w:val="000B3019"/>
    <w:rsid w:val="000C1B3E"/>
    <w:rsid w:val="000C349E"/>
    <w:rsid w:val="000C3E76"/>
    <w:rsid w:val="000C6B80"/>
    <w:rsid w:val="000D2A1E"/>
    <w:rsid w:val="000E2108"/>
    <w:rsid w:val="000E289E"/>
    <w:rsid w:val="000F59C3"/>
    <w:rsid w:val="000F6F75"/>
    <w:rsid w:val="00105083"/>
    <w:rsid w:val="0010698E"/>
    <w:rsid w:val="00110203"/>
    <w:rsid w:val="00110AE7"/>
    <w:rsid w:val="001241C8"/>
    <w:rsid w:val="00124249"/>
    <w:rsid w:val="00133425"/>
    <w:rsid w:val="00153DE6"/>
    <w:rsid w:val="00164123"/>
    <w:rsid w:val="00177F4D"/>
    <w:rsid w:val="001804C4"/>
    <w:rsid w:val="00180DDA"/>
    <w:rsid w:val="001B2A2D"/>
    <w:rsid w:val="001B4004"/>
    <w:rsid w:val="001B6E97"/>
    <w:rsid w:val="001B737D"/>
    <w:rsid w:val="001C0448"/>
    <w:rsid w:val="001C1803"/>
    <w:rsid w:val="001C3CA6"/>
    <w:rsid w:val="001C44A3"/>
    <w:rsid w:val="001C77BB"/>
    <w:rsid w:val="001D2232"/>
    <w:rsid w:val="001E0E15"/>
    <w:rsid w:val="001F528A"/>
    <w:rsid w:val="001F704E"/>
    <w:rsid w:val="00201722"/>
    <w:rsid w:val="002125B0"/>
    <w:rsid w:val="0021624B"/>
    <w:rsid w:val="00221E08"/>
    <w:rsid w:val="00231405"/>
    <w:rsid w:val="00232703"/>
    <w:rsid w:val="00233183"/>
    <w:rsid w:val="00237D7C"/>
    <w:rsid w:val="00243228"/>
    <w:rsid w:val="00251483"/>
    <w:rsid w:val="002536E2"/>
    <w:rsid w:val="0025514A"/>
    <w:rsid w:val="00255CAA"/>
    <w:rsid w:val="0025741F"/>
    <w:rsid w:val="00260FC6"/>
    <w:rsid w:val="002632FE"/>
    <w:rsid w:val="0026411D"/>
    <w:rsid w:val="00264305"/>
    <w:rsid w:val="002753D4"/>
    <w:rsid w:val="00286FEF"/>
    <w:rsid w:val="00287B94"/>
    <w:rsid w:val="002A0346"/>
    <w:rsid w:val="002A072D"/>
    <w:rsid w:val="002A0929"/>
    <w:rsid w:val="002A098A"/>
    <w:rsid w:val="002A2686"/>
    <w:rsid w:val="002A4487"/>
    <w:rsid w:val="002B49E9"/>
    <w:rsid w:val="002C5299"/>
    <w:rsid w:val="002C5FA2"/>
    <w:rsid w:val="002C632E"/>
    <w:rsid w:val="002C693F"/>
    <w:rsid w:val="002D3B9F"/>
    <w:rsid w:val="002D3E8B"/>
    <w:rsid w:val="002D4575"/>
    <w:rsid w:val="002D5C0C"/>
    <w:rsid w:val="002E03D1"/>
    <w:rsid w:val="002E6B74"/>
    <w:rsid w:val="002E6FCA"/>
    <w:rsid w:val="002F7449"/>
    <w:rsid w:val="00305623"/>
    <w:rsid w:val="00315C1F"/>
    <w:rsid w:val="003254B6"/>
    <w:rsid w:val="003351C4"/>
    <w:rsid w:val="00345840"/>
    <w:rsid w:val="00345C78"/>
    <w:rsid w:val="0035243F"/>
    <w:rsid w:val="00356CD0"/>
    <w:rsid w:val="00360613"/>
    <w:rsid w:val="00360C11"/>
    <w:rsid w:val="00362CD9"/>
    <w:rsid w:val="003706B1"/>
    <w:rsid w:val="00371CF9"/>
    <w:rsid w:val="00374658"/>
    <w:rsid w:val="003761CA"/>
    <w:rsid w:val="0038049E"/>
    <w:rsid w:val="00380DAF"/>
    <w:rsid w:val="0039642A"/>
    <w:rsid w:val="003972CE"/>
    <w:rsid w:val="003A01EE"/>
    <w:rsid w:val="003A7154"/>
    <w:rsid w:val="003B22C1"/>
    <w:rsid w:val="003B2635"/>
    <w:rsid w:val="003B28F5"/>
    <w:rsid w:val="003B7B7D"/>
    <w:rsid w:val="003C54CB"/>
    <w:rsid w:val="003C7A2A"/>
    <w:rsid w:val="003D25A2"/>
    <w:rsid w:val="003D2DC1"/>
    <w:rsid w:val="003D69D0"/>
    <w:rsid w:val="003E5A58"/>
    <w:rsid w:val="003E5A84"/>
    <w:rsid w:val="003F2918"/>
    <w:rsid w:val="003F430E"/>
    <w:rsid w:val="003F4BF5"/>
    <w:rsid w:val="00410471"/>
    <w:rsid w:val="0041088C"/>
    <w:rsid w:val="0041230E"/>
    <w:rsid w:val="00420A38"/>
    <w:rsid w:val="00421B79"/>
    <w:rsid w:val="00426DB3"/>
    <w:rsid w:val="00431B19"/>
    <w:rsid w:val="004327AF"/>
    <w:rsid w:val="0044342A"/>
    <w:rsid w:val="004529C5"/>
    <w:rsid w:val="004533B7"/>
    <w:rsid w:val="00465A81"/>
    <w:rsid w:val="004661AD"/>
    <w:rsid w:val="00467C09"/>
    <w:rsid w:val="0047390D"/>
    <w:rsid w:val="00477E4F"/>
    <w:rsid w:val="00480A7D"/>
    <w:rsid w:val="00497BCB"/>
    <w:rsid w:val="004A1681"/>
    <w:rsid w:val="004B1C79"/>
    <w:rsid w:val="004C2640"/>
    <w:rsid w:val="004C6C3D"/>
    <w:rsid w:val="004D1D85"/>
    <w:rsid w:val="004D3C3A"/>
    <w:rsid w:val="004E1CD1"/>
    <w:rsid w:val="004E699A"/>
    <w:rsid w:val="004F6C81"/>
    <w:rsid w:val="004F7616"/>
    <w:rsid w:val="005054DF"/>
    <w:rsid w:val="0050690E"/>
    <w:rsid w:val="00507477"/>
    <w:rsid w:val="005107EB"/>
    <w:rsid w:val="0051402F"/>
    <w:rsid w:val="00521345"/>
    <w:rsid w:val="00524A4C"/>
    <w:rsid w:val="00526DF0"/>
    <w:rsid w:val="00536BE8"/>
    <w:rsid w:val="00541CF8"/>
    <w:rsid w:val="00545CC4"/>
    <w:rsid w:val="0055006A"/>
    <w:rsid w:val="00551FFF"/>
    <w:rsid w:val="005607A2"/>
    <w:rsid w:val="0057198B"/>
    <w:rsid w:val="00573CFE"/>
    <w:rsid w:val="0059113E"/>
    <w:rsid w:val="00591849"/>
    <w:rsid w:val="005969F2"/>
    <w:rsid w:val="00597FAE"/>
    <w:rsid w:val="005B0425"/>
    <w:rsid w:val="005B32A3"/>
    <w:rsid w:val="005B4E0F"/>
    <w:rsid w:val="005C0D44"/>
    <w:rsid w:val="005C53C3"/>
    <w:rsid w:val="005C566C"/>
    <w:rsid w:val="005C6814"/>
    <w:rsid w:val="005C7E69"/>
    <w:rsid w:val="005D019D"/>
    <w:rsid w:val="005E262D"/>
    <w:rsid w:val="005E7CD1"/>
    <w:rsid w:val="005F23D3"/>
    <w:rsid w:val="005F5B90"/>
    <w:rsid w:val="005F6D92"/>
    <w:rsid w:val="005F7E20"/>
    <w:rsid w:val="00605E43"/>
    <w:rsid w:val="0061126E"/>
    <w:rsid w:val="006153BB"/>
    <w:rsid w:val="00635ADD"/>
    <w:rsid w:val="00637047"/>
    <w:rsid w:val="0065201C"/>
    <w:rsid w:val="00654BE6"/>
    <w:rsid w:val="00656C67"/>
    <w:rsid w:val="006652C3"/>
    <w:rsid w:val="006749E3"/>
    <w:rsid w:val="00677A4C"/>
    <w:rsid w:val="00691FD0"/>
    <w:rsid w:val="00692148"/>
    <w:rsid w:val="006A1A1E"/>
    <w:rsid w:val="006A4182"/>
    <w:rsid w:val="006B09E7"/>
    <w:rsid w:val="006C2D3E"/>
    <w:rsid w:val="006C5948"/>
    <w:rsid w:val="006D0096"/>
    <w:rsid w:val="006E2121"/>
    <w:rsid w:val="006E3E09"/>
    <w:rsid w:val="006E6498"/>
    <w:rsid w:val="006F2A74"/>
    <w:rsid w:val="0070680D"/>
    <w:rsid w:val="007118F5"/>
    <w:rsid w:val="00712AA4"/>
    <w:rsid w:val="007146C4"/>
    <w:rsid w:val="00715ACE"/>
    <w:rsid w:val="00721AA1"/>
    <w:rsid w:val="00724B67"/>
    <w:rsid w:val="00726639"/>
    <w:rsid w:val="00736E22"/>
    <w:rsid w:val="00737637"/>
    <w:rsid w:val="007379F3"/>
    <w:rsid w:val="00740FB4"/>
    <w:rsid w:val="007470AA"/>
    <w:rsid w:val="00752C11"/>
    <w:rsid w:val="007531AE"/>
    <w:rsid w:val="007547F8"/>
    <w:rsid w:val="00763C60"/>
    <w:rsid w:val="00765622"/>
    <w:rsid w:val="00766C85"/>
    <w:rsid w:val="00770B6C"/>
    <w:rsid w:val="00774730"/>
    <w:rsid w:val="00781A2F"/>
    <w:rsid w:val="00782685"/>
    <w:rsid w:val="007835EB"/>
    <w:rsid w:val="00783FEA"/>
    <w:rsid w:val="007926DC"/>
    <w:rsid w:val="00792C7A"/>
    <w:rsid w:val="00792CF6"/>
    <w:rsid w:val="007A05AD"/>
    <w:rsid w:val="007A2C9A"/>
    <w:rsid w:val="007A395D"/>
    <w:rsid w:val="007A3ED8"/>
    <w:rsid w:val="007B20D0"/>
    <w:rsid w:val="007C346C"/>
    <w:rsid w:val="007D3F68"/>
    <w:rsid w:val="007D44B2"/>
    <w:rsid w:val="007D63E3"/>
    <w:rsid w:val="0080294B"/>
    <w:rsid w:val="00805627"/>
    <w:rsid w:val="00805C8C"/>
    <w:rsid w:val="00811F06"/>
    <w:rsid w:val="0082480E"/>
    <w:rsid w:val="0082574B"/>
    <w:rsid w:val="00827BAD"/>
    <w:rsid w:val="00844C1A"/>
    <w:rsid w:val="00846DF4"/>
    <w:rsid w:val="00850293"/>
    <w:rsid w:val="00851373"/>
    <w:rsid w:val="00851BA6"/>
    <w:rsid w:val="00853B4E"/>
    <w:rsid w:val="0085654D"/>
    <w:rsid w:val="00861160"/>
    <w:rsid w:val="00861801"/>
    <w:rsid w:val="0086654F"/>
    <w:rsid w:val="008702A8"/>
    <w:rsid w:val="0087239B"/>
    <w:rsid w:val="00881CC9"/>
    <w:rsid w:val="0088289D"/>
    <w:rsid w:val="008850E7"/>
    <w:rsid w:val="00890429"/>
    <w:rsid w:val="00892CA4"/>
    <w:rsid w:val="008A249D"/>
    <w:rsid w:val="008A262E"/>
    <w:rsid w:val="008A356F"/>
    <w:rsid w:val="008A3ECA"/>
    <w:rsid w:val="008A4653"/>
    <w:rsid w:val="008A4717"/>
    <w:rsid w:val="008A50CC"/>
    <w:rsid w:val="008B4B25"/>
    <w:rsid w:val="008D0683"/>
    <w:rsid w:val="008D1694"/>
    <w:rsid w:val="008D2FF7"/>
    <w:rsid w:val="008D79CB"/>
    <w:rsid w:val="008E28CC"/>
    <w:rsid w:val="008E3CFE"/>
    <w:rsid w:val="008F07BC"/>
    <w:rsid w:val="00904066"/>
    <w:rsid w:val="00904FE3"/>
    <w:rsid w:val="00911A13"/>
    <w:rsid w:val="00912178"/>
    <w:rsid w:val="009230A6"/>
    <w:rsid w:val="0092692B"/>
    <w:rsid w:val="00941AAE"/>
    <w:rsid w:val="00942F46"/>
    <w:rsid w:val="00943E9C"/>
    <w:rsid w:val="00953F4D"/>
    <w:rsid w:val="00960BB8"/>
    <w:rsid w:val="009614AC"/>
    <w:rsid w:val="00964F5C"/>
    <w:rsid w:val="00966CFD"/>
    <w:rsid w:val="00973B57"/>
    <w:rsid w:val="009831C0"/>
    <w:rsid w:val="00983F19"/>
    <w:rsid w:val="00984B22"/>
    <w:rsid w:val="009874F9"/>
    <w:rsid w:val="0099161D"/>
    <w:rsid w:val="009A6537"/>
    <w:rsid w:val="009B0E91"/>
    <w:rsid w:val="009C5F41"/>
    <w:rsid w:val="009D0040"/>
    <w:rsid w:val="009E1461"/>
    <w:rsid w:val="009F3737"/>
    <w:rsid w:val="00A01B17"/>
    <w:rsid w:val="00A0389B"/>
    <w:rsid w:val="00A13518"/>
    <w:rsid w:val="00A26017"/>
    <w:rsid w:val="00A446C9"/>
    <w:rsid w:val="00A45388"/>
    <w:rsid w:val="00A56C33"/>
    <w:rsid w:val="00A635D6"/>
    <w:rsid w:val="00A71C46"/>
    <w:rsid w:val="00A72757"/>
    <w:rsid w:val="00A77F54"/>
    <w:rsid w:val="00A800A9"/>
    <w:rsid w:val="00A82396"/>
    <w:rsid w:val="00A8553A"/>
    <w:rsid w:val="00A93AED"/>
    <w:rsid w:val="00A95BA3"/>
    <w:rsid w:val="00AA7A71"/>
    <w:rsid w:val="00AB61CA"/>
    <w:rsid w:val="00AC255F"/>
    <w:rsid w:val="00AD71DA"/>
    <w:rsid w:val="00AE1319"/>
    <w:rsid w:val="00AE34BB"/>
    <w:rsid w:val="00AE38DE"/>
    <w:rsid w:val="00AF1B1E"/>
    <w:rsid w:val="00AF7C4D"/>
    <w:rsid w:val="00B0084A"/>
    <w:rsid w:val="00B0520E"/>
    <w:rsid w:val="00B226F2"/>
    <w:rsid w:val="00B274DF"/>
    <w:rsid w:val="00B351F6"/>
    <w:rsid w:val="00B569B1"/>
    <w:rsid w:val="00B56BDF"/>
    <w:rsid w:val="00B62879"/>
    <w:rsid w:val="00B65812"/>
    <w:rsid w:val="00B661C7"/>
    <w:rsid w:val="00B76F2F"/>
    <w:rsid w:val="00B80530"/>
    <w:rsid w:val="00B818CB"/>
    <w:rsid w:val="00B835B3"/>
    <w:rsid w:val="00B85CD6"/>
    <w:rsid w:val="00B90A27"/>
    <w:rsid w:val="00B93C77"/>
    <w:rsid w:val="00B9554D"/>
    <w:rsid w:val="00BA1612"/>
    <w:rsid w:val="00BA4DA9"/>
    <w:rsid w:val="00BB2B9F"/>
    <w:rsid w:val="00BB4CCC"/>
    <w:rsid w:val="00BB7D9E"/>
    <w:rsid w:val="00BC2334"/>
    <w:rsid w:val="00BC681C"/>
    <w:rsid w:val="00BD15B9"/>
    <w:rsid w:val="00BD27CF"/>
    <w:rsid w:val="00BD3CB8"/>
    <w:rsid w:val="00BD4E6F"/>
    <w:rsid w:val="00BE05C9"/>
    <w:rsid w:val="00BE700D"/>
    <w:rsid w:val="00BF1968"/>
    <w:rsid w:val="00BF2834"/>
    <w:rsid w:val="00BF32F0"/>
    <w:rsid w:val="00BF4DCE"/>
    <w:rsid w:val="00C02DDD"/>
    <w:rsid w:val="00C03813"/>
    <w:rsid w:val="00C05CE5"/>
    <w:rsid w:val="00C11454"/>
    <w:rsid w:val="00C43678"/>
    <w:rsid w:val="00C52A4D"/>
    <w:rsid w:val="00C55B86"/>
    <w:rsid w:val="00C6171E"/>
    <w:rsid w:val="00C65DAA"/>
    <w:rsid w:val="00C81FCE"/>
    <w:rsid w:val="00C8359E"/>
    <w:rsid w:val="00C865DF"/>
    <w:rsid w:val="00C967CB"/>
    <w:rsid w:val="00CA6F2C"/>
    <w:rsid w:val="00CB133B"/>
    <w:rsid w:val="00CC1D39"/>
    <w:rsid w:val="00CC79CE"/>
    <w:rsid w:val="00CD132F"/>
    <w:rsid w:val="00CD5D87"/>
    <w:rsid w:val="00CD769D"/>
    <w:rsid w:val="00CF00E2"/>
    <w:rsid w:val="00CF0655"/>
    <w:rsid w:val="00CF105B"/>
    <w:rsid w:val="00CF1871"/>
    <w:rsid w:val="00CF534A"/>
    <w:rsid w:val="00D01836"/>
    <w:rsid w:val="00D019CE"/>
    <w:rsid w:val="00D027C6"/>
    <w:rsid w:val="00D1133E"/>
    <w:rsid w:val="00D12572"/>
    <w:rsid w:val="00D12CDB"/>
    <w:rsid w:val="00D1726A"/>
    <w:rsid w:val="00D17A34"/>
    <w:rsid w:val="00D26628"/>
    <w:rsid w:val="00D332B3"/>
    <w:rsid w:val="00D423E5"/>
    <w:rsid w:val="00D55207"/>
    <w:rsid w:val="00D60825"/>
    <w:rsid w:val="00D70913"/>
    <w:rsid w:val="00D76DA0"/>
    <w:rsid w:val="00D81801"/>
    <w:rsid w:val="00D836F5"/>
    <w:rsid w:val="00D92B45"/>
    <w:rsid w:val="00D95962"/>
    <w:rsid w:val="00DC0604"/>
    <w:rsid w:val="00DC389B"/>
    <w:rsid w:val="00DC66A8"/>
    <w:rsid w:val="00DD34D8"/>
    <w:rsid w:val="00DE2FEE"/>
    <w:rsid w:val="00DE6FB4"/>
    <w:rsid w:val="00DF0079"/>
    <w:rsid w:val="00DF3164"/>
    <w:rsid w:val="00E00BE9"/>
    <w:rsid w:val="00E04761"/>
    <w:rsid w:val="00E173FB"/>
    <w:rsid w:val="00E220FC"/>
    <w:rsid w:val="00E22A11"/>
    <w:rsid w:val="00E31E5C"/>
    <w:rsid w:val="00E41C87"/>
    <w:rsid w:val="00E44DD2"/>
    <w:rsid w:val="00E47CCD"/>
    <w:rsid w:val="00E558C3"/>
    <w:rsid w:val="00E55927"/>
    <w:rsid w:val="00E6096D"/>
    <w:rsid w:val="00E70486"/>
    <w:rsid w:val="00E77182"/>
    <w:rsid w:val="00E82FDA"/>
    <w:rsid w:val="00E912A6"/>
    <w:rsid w:val="00EA2028"/>
    <w:rsid w:val="00EA4844"/>
    <w:rsid w:val="00EA4D9C"/>
    <w:rsid w:val="00EA5A97"/>
    <w:rsid w:val="00EA7BD7"/>
    <w:rsid w:val="00EB75EE"/>
    <w:rsid w:val="00EC7EC7"/>
    <w:rsid w:val="00EE4C1D"/>
    <w:rsid w:val="00EF3685"/>
    <w:rsid w:val="00EF5ECC"/>
    <w:rsid w:val="00F01507"/>
    <w:rsid w:val="00F04350"/>
    <w:rsid w:val="00F044A0"/>
    <w:rsid w:val="00F05256"/>
    <w:rsid w:val="00F075E9"/>
    <w:rsid w:val="00F133DB"/>
    <w:rsid w:val="00F159EB"/>
    <w:rsid w:val="00F25BF4"/>
    <w:rsid w:val="00F267DB"/>
    <w:rsid w:val="00F46F6F"/>
    <w:rsid w:val="00F52E60"/>
    <w:rsid w:val="00F60608"/>
    <w:rsid w:val="00F62217"/>
    <w:rsid w:val="00F64B31"/>
    <w:rsid w:val="00F71ACC"/>
    <w:rsid w:val="00F91E9E"/>
    <w:rsid w:val="00FA452E"/>
    <w:rsid w:val="00FA644A"/>
    <w:rsid w:val="00FA6FF1"/>
    <w:rsid w:val="00FB17A9"/>
    <w:rsid w:val="00FB527C"/>
    <w:rsid w:val="00FB6F75"/>
    <w:rsid w:val="00FC0EB3"/>
    <w:rsid w:val="00FD010B"/>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aliases w:val="Conclusion list"/>
    <w:basedOn w:val="Normal"/>
    <w:link w:val="ListParagraphChar"/>
    <w:uiPriority w:val="34"/>
    <w:qFormat/>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aliases w:val="Table-Figure-Photo"/>
    <w:basedOn w:val="Normal"/>
    <w:next w:val="Normal"/>
    <w:link w:val="CaptionChar"/>
    <w:uiPriority w:val="35"/>
    <w:qFormat/>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customStyle="1" w:styleId="ListParagraphChar">
    <w:name w:val="List Paragraph Char"/>
    <w:aliases w:val="Conclusion list Char"/>
    <w:basedOn w:val="DefaultParagraphFont"/>
    <w:link w:val="ListParagraph"/>
    <w:uiPriority w:val="34"/>
    <w:rsid w:val="00497BCB"/>
    <w:rPr>
      <w:rFonts w:asciiTheme="minorHAnsi" w:eastAsiaTheme="minorHAnsi" w:hAnsiTheme="minorHAnsi" w:cstheme="minorBidi"/>
      <w:sz w:val="18"/>
      <w:szCs w:val="22"/>
      <w:lang w:eastAsia="en-US"/>
    </w:rPr>
  </w:style>
  <w:style w:type="character" w:customStyle="1" w:styleId="CaptionChar">
    <w:name w:val="Caption Char"/>
    <w:aliases w:val="Table-Figure-Photo Char"/>
    <w:basedOn w:val="DefaultParagraphFont"/>
    <w:link w:val="Caption"/>
    <w:uiPriority w:val="35"/>
    <w:rsid w:val="00497BCB"/>
    <w:rPr>
      <w:rFonts w:asciiTheme="minorHAnsi" w:eastAsiaTheme="minorHAnsi" w:hAnsiTheme="minorHAnsi" w:cstheme="minorBidi"/>
      <w:b/>
      <w:bCs/>
      <w:i/>
      <w:color w:val="575756"/>
      <w:sz w:val="22"/>
      <w:szCs w:val="22"/>
      <w:u w:val="single"/>
      <w:lang w:eastAsia="en-US"/>
    </w:rPr>
  </w:style>
  <w:style w:type="paragraph" w:customStyle="1" w:styleId="Appendixsubnumbering">
    <w:name w:val="Appendix sub numbering"/>
    <w:basedOn w:val="Heading8"/>
    <w:link w:val="AppendixsubnumberingChar"/>
    <w:qFormat/>
    <w:rsid w:val="00497BCB"/>
    <w:pPr>
      <w:keepNext w:val="0"/>
      <w:keepLines w:val="0"/>
      <w:spacing w:before="240" w:after="120" w:line="264" w:lineRule="auto"/>
      <w:ind w:left="1440" w:hanging="1440"/>
      <w:jc w:val="both"/>
    </w:pPr>
    <w:rPr>
      <w:rFonts w:ascii="Arial" w:eastAsia="Times New Roman" w:hAnsi="Arial"/>
      <w:b/>
      <w:sz w:val="21"/>
      <w:lang w:val="en-US"/>
    </w:rPr>
  </w:style>
  <w:style w:type="character" w:customStyle="1" w:styleId="AppendixsubnumberingChar">
    <w:name w:val="Appendix sub numbering Char"/>
    <w:basedOn w:val="Heading8Char"/>
    <w:link w:val="Appendixsubnumbering"/>
    <w:rsid w:val="00497BCB"/>
    <w:rPr>
      <w:rFonts w:ascii="Arial" w:eastAsia="Times New Roman" w:hAnsi="Arial" w:cstheme="majorBidi"/>
      <w:b/>
      <w:color w:val="404040" w:themeColor="text1" w:themeTint="BF"/>
      <w:sz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la-aism.org/wiki/iwrap/index.php/SAMS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8</Pages>
  <Words>2541</Words>
  <Characters>14158</Characters>
  <Application>Microsoft Office Word</Application>
  <DocSecurity>0</DocSecurity>
  <Lines>267</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103</cp:revision>
  <dcterms:created xsi:type="dcterms:W3CDTF">2026-04-09T13:34:00Z</dcterms:created>
  <dcterms:modified xsi:type="dcterms:W3CDTF">2026-04-14T08:30:00Z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